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«ՄԱՅԼԵՌ» ՆԵՐԴՐՈՒՄԱՅԻՆ ԾՐԱԳՐԻ ՇՐՋԱՆԱԿՆԵՐՈՒՄ «ՄԱՅԼԵՌ ՄԱՈՒՆԹԱՅՆ ՌԵԶՈՐԹ» ՓԱԿ ԲԱԺՆԵՏԻՐԱԿԱՆ ԸՆԿԵՐՈՒԹՅԱՆԸ ԽԱՂԱՏԱՆ ԼԻՑԵՆԶԻԱ ՏՐԱՄԱԴՐԵԼՈՒ ՄԱՍԻՆ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«ՄԱՅԼԵՌ» ՆԵՐԴՐՈՒՄԱՅԻՆ ԾՐԱԳՐԻ ՇՐՋԱՆԱԿՆԵՐՈՒՄ «ՄԱՅԼԵՌ ՄԱՈՒՆԹԱՅՆ ՌԵԶՈՐԹ» ՓԱԿ ԲԱԺՆԵՏԻՐԱԿԱՆ ԸՆԿԵՐՈՒԹՅԱՆԸ ԽԱՂԱՏԱՆ ԼԻՑԵՆԶԻԱ ՏՐԱՄԱԴՐԵԼՈՒ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Սույն օրենքը կարգավորում է «Մայլեռ» ներդրումային ծրագրի շրջանակներում «Մայլեռ Մաունթայն Ռեզորթ» փակ բաժնետիրական ընկերությանը խաղատան լիցենզիայի տրամադրման հետ կապված հարաբերությունները: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Սույն օրենքի կիրառության իմաստով`</w:t>
      </w:r>
    </w:p>
    <w:p>
      <w:pPr/>
      <w:r>
        <w:rPr/>
        <w:t xml:space="preserve">1) «Մայլեռ» ներդրումային ծրագիր (այսուհետ` Ծրագիր) է համարվում Հայաստանի Հանրապետության կառավարության կողմից հավանության արժանացած` առնվազն 15 միլիարդ ՀՀ դրամի ներդրմամբ ՀՀ Արագածոտնի մարզի Ապարան խոշորացված համայնքի Եղիպատրուշ վարչական բնակավայրում ճոպանուղու և 2 հյուրանոցների կառուցումն ու շահագործումը.</w:t>
      </w:r>
    </w:p>
    <w:p>
      <w:pPr/>
      <w:r>
        <w:rPr/>
        <w:t xml:space="preserve">2) Ծրագիր իրականացնող կազմակերպություն է համարվում «Մայլեռ Մաունթայն Ռեզորթ» ՓԲ ընկերությունը (այսուհետ՝ Ընկերություն):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Ծրագրի իրականացման շրջանակներում՝</w:t>
      </w:r>
    </w:p>
    <w:p>
      <w:pPr>
        <w:numPr>
          <w:ilvl w:val="0"/>
          <w:numId w:val="2"/>
        </w:numPr>
      </w:pPr>
      <w:r>
        <w:rPr/>
        <w:t xml:space="preserve">Ընկերությանը խաղատան գործունեության լիցենզիան տրամադրվում է «Շահումով խաղերի, ինտերնետ շահումով խաղերի և խաղատների մասին», «Լիցենզավորման մասին» ՀՀ օրենքներին և սույն օրենքին համապատասխան:</w:t>
      </w:r>
    </w:p>
    <w:p>
      <w:pPr>
        <w:numPr>
          <w:ilvl w:val="0"/>
          <w:numId w:val="2"/>
        </w:numPr>
      </w:pPr>
      <w:r>
        <w:rPr/>
        <w:t xml:space="preserve">Լիցենզիան տրամադրվում է Ծրագրի իրականացման համար նախատեսված տարածքում «խաղատան կազմակերպում» գործունեության նպատակով։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Ծրագրի շրջանակներում Ընկերությանը սույն օրենքի 3-րդ հոդվածով սահմանված լիցենզիայի տրամադրման նպատակով գանձվում է տարեկան պետական տուրք՝ բազային տուրքի 100000-ապատիկի չափով։ Պետական տուրքի գծով պարտավորությունների ծագման, պետական տուրքը գանձելու, վերադարձնելու, պետական տուրք վճա­րող­ների իրավունքների և պար­տա­կա­­նությունների, ինչպես նաև պետական տուրքի հետ կապ­ված մյուս հարաբերությունները կար­գավորվում են «Պետական տուրքի մասին» ՀՀ օրենքով: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 Ծրագրով նախատեսված ենթակառուցվածքների շահագործման հանձնման պահից Ընկերությունը կարող է դիմել Լիցենզավորող մարմին «խաղատների կազմակերպում» գործունեության լիցենզիա ստանալու նպատակով: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6.</w:t>
      </w:r>
      <w:r>
        <w:rPr/>
        <w:t xml:space="preserve"> Ծրագիրը չկատարելու դեպքում Ընկերությանը սույն օրենքի շրջանակներում տրամադրված լիցենզիայի գործողությունը դադարեցվում է` Ծրագրի չկատարման դեպքում, ինչպես նաև օրենսդրությամբ սահմանված այլ դեպքերում: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7.</w:t>
      </w:r>
      <w:r>
        <w:rPr/>
        <w:t xml:space="preserve"> 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Նախագահ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CF9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2026-04-01T19:44:39+04:00</dcterms:created>
  <dcterms:modified xsi:type="dcterms:W3CDTF">2026-04-01T19:44:39+04:00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