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«ԱՎՏՈՄՈԲԻԼԱՅԻՆ ՏՐԱՆՍՊՈՐՏԻ ՄԱՍԻՆ» ՕՐԵՆՔՈՒՄ ԼՐԱՑՈՒՄՆԵՐ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«ԱՎՏՈՄՈԲԻԼԱՅԻՆ ՏՐԱՆՍՊՈՐՏԻ ՄԱՍԻՆ» ՕՐԵՆՔՈՒՄ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«Ավտոմոբիլային տրանսպորտի մասին» 2006 թվականի դեկտեմբերի 5-ի ՀՕ-233-Ն օրենքի (այուհետ՝ Օրենք) 6․1․-րդ հոդվածի 1-ին մասից հետո լրացնել նոր 1․1․ և 1․2․ մասեր՝ հետևյալ բովանդակությամբ․</w:t>
      </w:r>
    </w:p>
    <w:p>
      <w:pPr/>
      <w:r>
        <w:rPr/>
        <w:t xml:space="preserve">«1․1․ Պետական սահմանի անցման կետերում Հայաստանի Հանրապետության կառավարության որոշմանը համապատասխան սահմանված «մեկ կանգառ» համակարգի ներդրման շրջանակներում՝ ավտոտրանսպորտային օրենսդրության պահպանման նկատմամբ վերահսկողությունն իրականացնում են ազգային անվտանգության ծառայությունը և մաքսային մարմինը։</w:t>
      </w:r>
    </w:p>
    <w:p>
      <w:pPr/>
      <w:r>
        <w:rPr/>
        <w:t xml:space="preserve">1․2․ Սույն հոդվածի 1․1․ կետի կիրարկման նպատակով տեսչական մարմնի, մաքսային մարմինների և ազգային անվտանգության մարմինների կողմից կարող են ընդունվել համատեղ հրամաններ։»։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2026-04-03T16:48:00+04:00</dcterms:created>
  <dcterms:modified xsi:type="dcterms:W3CDTF">2026-04-03T16:48:00+04:00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