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մայնքային տնտեսության աճի վրա էական ազդեցություն ունեցող ներդրումային եւ գործարար ծրագրերի գնահատման կարգը հաստատելու մասին>> Հայաստանի Հանրապետության կառավարության որոշման նախագիծ</w:t></w:r><w:bookmarkEnd w:id="0"/></w:p><w:p><w:pPr/><w:r><w:rPr/><w:t xml:space="preserve">                                                                                                                                                            </w:t></w:r></w:p><w:p><w:pPr><w:jc w:val="center"/></w:pPr><w:r><w:rPr><w:b w:val="1"/><w:bCs w:val="1"/><w:u w:val="single"/></w:rPr><w:t xml:space="preserve">ՆԱԽԱԳԻԾ </w:t></w:r></w:p><w:p><w:pPr><w:jc w:val="center"/></w:pPr><w:r><w:rPr><w:b w:val="1"/><w:bCs w:val="1"/></w:rPr><w:t xml:space="preserve">   </w:t></w:r></w:p><w:p><w:pPr><w:jc w:val="center"/></w:pPr><w:r><w:rPr/><w:t xml:space="preserve"> </w:t></w: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Ո Ր Ո Շ Ո Ւ Մ</w:t></w:r></w:p><w:p><w:pPr><w:jc w:val="center"/></w:pPr><w:r><w:rPr/><w:t xml:space="preserve"> </w:t></w:r></w:p><w:p><w:pPr><w:jc w:val="center"/></w:pPr><w:r><w:rPr/><w:t xml:space="preserve">___________ 2017 թվականի  N    - Ն</w:t></w:r></w:p><w:p><w:pPr><w:jc w:val="center"/></w:pPr><w:r><w:rPr/><w:t xml:space="preserve"> </w:t></w:r></w:p><w:p><w:pPr><w:jc w:val="center"/></w:pPr><w:r><w:rPr><w:b w:val="1"/><w:bCs w:val="1"/></w:rPr><w:t xml:space="preserve"> </w:t></w:r><w:r><w:rPr><w:b w:val="1"/><w:bCs w:val="1"/></w:rPr><w:t xml:space="preserve">ՀԱՄԱՅՆՔԱՅԻՆ</w:t></w:r><w:r><w:rPr/><w:t xml:space="preserve"> </w:t></w:r><w:r><w:rPr><w:b w:val="1"/><w:bCs w:val="1"/></w:rPr><w:t xml:space="preserve">ՏՆՏԵՍՈՒԹՅԱՆ</w:t></w:r><w:r><w:rPr/><w:t xml:space="preserve"> </w:t></w:r><w:r><w:rPr><w:b w:val="1"/><w:bCs w:val="1"/></w:rPr><w:t xml:space="preserve">ԱՃԻ</w:t></w:r><w:r><w:rPr/><w:t xml:space="preserve"> </w:t></w:r><w:r><w:rPr><w:b w:val="1"/><w:bCs w:val="1"/></w:rPr><w:t xml:space="preserve">ՎՐԱ</w:t></w:r><w:r><w:rPr/><w:t xml:space="preserve"> </w:t></w:r><w:r><w:rPr><w:b w:val="1"/><w:bCs w:val="1"/></w:rPr><w:t xml:space="preserve">ԷԱԿԱՆ</w:t></w:r><w:r><w:rPr/><w:t xml:space="preserve"> </w:t></w:r><w:r><w:rPr><w:b w:val="1"/><w:bCs w:val="1"/></w:rPr><w:t xml:space="preserve">ԱԶԴԵՑՈՒԹՅՈՒՆ</w:t></w:r><w:r><w:rPr/><w:t xml:space="preserve"> </w:t></w:r><w:r><w:rPr><w:b w:val="1"/><w:bCs w:val="1"/></w:rPr><w:t xml:space="preserve">ՈՒՆԵՑՈՂ</w:t></w:r><w:r><w:rPr/><w:t xml:space="preserve"> </w:t></w:r><w:r><w:rPr><w:b w:val="1"/><w:bCs w:val="1"/></w:rPr><w:t xml:space="preserve">ՆԵՐԴՐՈՒՄԱՅԻՆ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ԳՈՐԾԱՐԱՐ</w:t></w:r><w:r><w:rPr/><w:t xml:space="preserve"> </w:t></w:r><w:r><w:rPr><w:b w:val="1"/><w:bCs w:val="1"/></w:rPr><w:t xml:space="preserve">ԾՐԱԳՐԵՐԻ</w:t></w:r><w:r><w:rPr/><w:t xml:space="preserve"> </w:t></w:r><w:r><w:rPr><w:b w:val="1"/><w:bCs w:val="1"/></w:rPr><w:t xml:space="preserve">ԳՆԱՀԱՏՄԱՆ</w:t></w:r></w:p><w:p><w:pPr><w:jc w:val="center"/></w:pPr><w:r><w:rPr><w:b w:val="1"/><w:bCs w:val="1"/></w:rPr><w:t xml:space="preserve">ԿԱՐԳԸ</w:t></w:r><w:r><w:rPr/><w:t xml:space="preserve"> </w:t></w:r><w:r><w:rPr><w:b w:val="1"/><w:bCs w:val="1"/></w:rPr><w:t xml:space="preserve">ՀԱՍՏԱՏԵԼՈՒ</w:t></w:r><w:r><w:rPr/><w:t xml:space="preserve"> </w:t></w:r><w:r><w:rPr><w:b w:val="1"/><w:bCs w:val="1"/></w:rPr><w:t xml:space="preserve">ՄԱՍԻՆ</w:t></w:r></w:p><w:p><w:pPr><w:jc w:val="center"/></w:pPr><w:r><w:rPr/><w:t xml:space="preserve">            </w:t></w:r></w:p><w:p><w:pPr/><w:r><w:rPr/><w:t xml:space="preserve"> Հայաստանի Հանրապետության կառավարությունը որոշում է.</w:t></w:r></w:p><w:p><w:pPr/><w:r><w:rPr/><w:t xml:space="preserve"> </w:t></w:r></w:p><w:p><w:pPr><w:numPr><w:ilvl w:val="0"/><w:numId w:val="2"/></w:numPr></w:pPr><w:r><w:rPr/><w:t xml:space="preserve">Հաստատել համայնքային տնտեսության աճի վրա էական ազդեցություն ունեցող ներդրումային և գործարար ծրագրերի գնահատման կարգը` համաձայն հավելվածի:</w:t></w:r></w:p><w:p><w:pPr><w:numPr><w:ilvl w:val="0"/><w:numId w:val="2"/></w:numPr></w:pPr><w:r><w:rPr/><w:t xml:space="preserve">Սույն որոշումն ուժի մեջ է մտնում պաշտոնական հրապարակման օրվան հաջորդող օրվանից:</w:t></w:r></w:p><w:p><w:pPr/><w:r><w:rPr/><w:t xml:space="preserve"> </w:t></w:r></w:p><w:p><w:pPr/><w:r><w:rPr/><w:t xml:space="preserve"> </w:t></w:r></w:p><w:p><w:pPr/><w:r><w:rPr/><w:t xml:space="preserve">     Հավելված</w:t></w:r></w:p><w:p><w:pPr/><w:r><w:rPr/><w:t xml:space="preserve">     ՀՀ կառավարության 2017 թվականի</w:t></w:r></w:p><w:p><w:pPr/><w:r><w:rPr/><w:t xml:space="preserve">…..թիվ  ____  որոշման </w:t></w:r></w:p><w:p><w:pPr/><w:r><w:rPr><w:b w:val="1"/><w:bCs w:val="1"/></w:rPr><w:t xml:space="preserve">                                                        </w:t></w:r></w:p><w:p><w:pPr/><w:r><w:rPr><w:b w:val="1"/><w:bCs w:val="1"/></w:rPr><w:t xml:space="preserve">                                                                                 </w:t></w:r><w:r><w:rPr><w:b w:val="1"/><w:bCs w:val="1"/></w:rPr><w:t xml:space="preserve">Կ</w:t></w:r><w:r><w:rPr/><w:t xml:space="preserve"> </w:t></w:r><w:r><w:rPr><w:b w:val="1"/><w:bCs w:val="1"/></w:rPr><w:t xml:space="preserve">Ա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Գ</w:t></w:r></w:p><w:p><w:pPr/><w:r><w:rPr/><w:t xml:space="preserve"> </w:t></w:r></w:p><w:p><w:pPr><w:jc w:val="center"/></w:pPr><w:r><w:rPr><w:b w:val="1"/><w:bCs w:val="1"/></w:rPr><w:t xml:space="preserve">ՀԱՄԱՅՆՔԱՅԻՆ</w:t></w:r><w:r><w:rPr/><w:t xml:space="preserve"> </w:t></w:r><w:r><w:rPr><w:b w:val="1"/><w:bCs w:val="1"/></w:rPr><w:t xml:space="preserve">ՏՆՏԵՍՈՒԹՅԱՆ</w:t></w:r><w:r><w:rPr/><w:t xml:space="preserve"> </w:t></w:r><w:r><w:rPr><w:b w:val="1"/><w:bCs w:val="1"/></w:rPr><w:t xml:space="preserve">ԱՃԻ</w:t></w:r><w:r><w:rPr/><w:t xml:space="preserve"> </w:t></w:r><w:r><w:rPr><w:b w:val="1"/><w:bCs w:val="1"/></w:rPr><w:t xml:space="preserve">ՎՐԱ</w:t></w:r><w:r><w:rPr/><w:t xml:space="preserve"> </w:t></w:r><w:r><w:rPr><w:b w:val="1"/><w:bCs w:val="1"/></w:rPr><w:t xml:space="preserve">ԷԱԿԱՆ</w:t></w:r><w:r><w:rPr/><w:t xml:space="preserve"> </w:t></w:r><w:r><w:rPr><w:b w:val="1"/><w:bCs w:val="1"/></w:rPr><w:t xml:space="preserve">ԱԶԴԵՑՈՒԹՅՈՒՆ</w:t></w:r><w:r><w:rPr/><w:t xml:space="preserve"> </w:t></w:r><w:r><w:rPr><w:b w:val="1"/><w:bCs w:val="1"/></w:rPr><w:t xml:space="preserve">ՈՒՆԵՑՈՂ</w:t></w:r><w:r><w:rPr/><w:t xml:space="preserve"> </w:t></w:r><w:r><w:rPr><w:b w:val="1"/><w:bCs w:val="1"/></w:rPr><w:t xml:space="preserve">ՆԵՐԴՐՈՒՄԱՅԻՆ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ԳՈՐԾԱՐԱՐ</w:t></w:r><w:r><w:rPr/><w:t xml:space="preserve"> </w:t></w:r><w:r><w:rPr><w:b w:val="1"/><w:bCs w:val="1"/></w:rPr><w:t xml:space="preserve">ԾՐԱԳՐԵՐԻ</w:t></w:r><w:r><w:rPr/><w:t xml:space="preserve"> </w:t></w:r><w:r><w:rPr><w:b w:val="1"/><w:bCs w:val="1"/></w:rPr><w:t xml:space="preserve">ԳՆԱՀԱՏՄԱՆ</w:t></w:r></w:p><w:p><w:pPr><w:jc w:val="center"/></w:pPr><w:r><w:rPr><w:b w:val="1"/><w:bCs w:val="1"/></w:rPr><w:t xml:space="preserve"> </w:t></w:r></w:p><w:p><w:pPr><w:numPr><w:ilvl w:val="0"/><w:numId w:val="3"/></w:numPr></w:pPr><w:r><w:rPr><w:b w:val="1"/><w:bCs w:val="1"/></w:rPr><w:t xml:space="preserve">ՆԵՐԱԾՈՒԹՅՈՒՆ</w:t></w:r></w:p><w:p><w:pPr/><w:r><w:rPr><w:b w:val="1"/><w:bCs w:val="1"/></w:rPr><w:t xml:space="preserve"> </w:t></w:r></w:p><w:p><w:pPr><w:numPr><w:ilvl w:val="0"/><w:numId w:val="4"/></w:numPr></w:pPr><w:r><w:rPr/><w:t xml:space="preserve">1. Սույն կարգով կարգավորվում են համայնքային տնտեսության աճի վրա էական ազդեցություն ունեցող գործարար ծրագրերի գնահատման և այդ ծրագրերի պետական աջակցության տրամադրման հետ կապված հարաբերությունները:</w:t></w:r></w:p><w:p><w:pPr><w:numPr><w:ilvl w:val="0"/><w:numId w:val="4"/></w:numPr></w:pPr><w:r><w:rPr/><w:t xml:space="preserve">Հանրապետության տնտեսության կայունության, համաչափ տարածքային զարգացման և հետագա տնտեսական աճի ապահովման համար անհրաժեշտ քայլերից է հանդիսանում արդյունավետ ներդրումային քաղաքականության վարումը և բարենպաստ ներդրումային միջավայրի ստեղծումը` աշխուժացնելով ներդրումային գործընթացը: Այս պարագայում առաջնային կարևորություն է ձեռք բերում համայնքային տնտեսության աճի վրա էական ազդեցություն ունեցող ներդրումային և գործարար ծրագրերի (այսուհետ` Ծրագրեր) պետական աջակցության վերաբերյալ որոշումներ ընդունելու հարցը:</w:t></w:r></w:p><w:p><w:pPr><w:numPr><w:ilvl w:val="0"/><w:numId w:val="4"/></w:numPr></w:pPr><w:r><w:rPr/><w:t xml:space="preserve">Հաշվի առնելով, որ ՀՀ կառավարությունը կարևորում է մասնավոր հատվածում ներդրումների խրախուսումը, ինչպես նաև պետություն-մասնավոր հատված գործընկերության զարգացումը` այն դիտարկելով որպես իր գործունեության կարևոր ուղղություններից մեկը, Ծրագրերի իրականացումը հնարավորություն կտա բարձրացնել ընկերությունների մրցունակությունը, զարգացնել տնտեսական ենթակառուցվածքները և նպաստել ազգային ու տեղական կարևորագույն ծրագրերի արդյունավետ իրականացմանը:</w:t></w:r></w:p><w:p><w:pPr/><w:r><w:rPr/><w:t xml:space="preserve"> </w:t></w:r></w:p><w:p><w:pPr><w:numPr><w:ilvl w:val="0"/><w:numId w:val="5"/></w:numPr></w:pPr><w:r><w:rPr><w:b w:val="1"/><w:bCs w:val="1"/></w:rPr><w:t xml:space="preserve">ԾՐԱԳՐԵՐԻ ԳՆԱՀԱՏՄԱՆ ՆՊԱՏԱԿԸ</w:t></w:r></w:p><w:p><w:pPr/><w:r><w:rPr><w:b w:val="1"/><w:bCs w:val="1"/></w:rPr><w:t xml:space="preserve"> </w:t></w:r></w:p><w:p><w:pPr><w:numPr><w:ilvl w:val="0"/><w:numId w:val="6"/></w:numPr></w:pPr><w:r><w:rPr/><w:t xml:space="preserve">Ծրագրերի գնահատման համակարգի ներդնման նպատակն է`</w:t></w:r></w:p><w:p><w:pPr><w:numPr><w:ilvl w:val="0"/><w:numId w:val="7"/></w:numPr></w:pPr><w:r><w:rPr/><w:t xml:space="preserve">խթանել Հայաստանում ներդրումային գործընթացը` դրանով իսկ նպաստելով հանրային և մասնավոր ռեսուրսների օգտագործման արդյունավետության բարձրացմանը.</w:t></w:r></w:p><w:p><w:pPr><w:numPr><w:ilvl w:val="0"/><w:numId w:val="7"/></w:numPr></w:pPr><w:r><w:rPr/><w:t xml:space="preserve">զարգացնել պետական աջակցության, մասնավորապես` Ծրագրերի մասնակի սուբսիդավորման որոշումների կայացման գործընթացը` ուղղված «փողի դիմաց արժեքի» մաքսիմալացմանը:</w:t></w:r></w:p><w:p><w:pPr/><w:r><w:rPr/><w:t xml:space="preserve"> </w:t></w:r></w:p><w:p><w:pPr><w:numPr><w:ilvl w:val="0"/><w:numId w:val="8"/></w:numPr></w:pPr><w:r><w:rPr><w:b w:val="1"/><w:bCs w:val="1"/></w:rPr><w:t xml:space="preserve">ԾՐԱԳՐԵՐԻ ԳՆԱՀԱՏՄԱՆ ՓՈՒԼԵՐԸ/ԳՈՐԾԸՆԹԱՑԸ</w:t></w:r></w:p><w:p><w:pPr/><w:r><w:rPr><w:b w:val="1"/><w:bCs w:val="1"/></w:rPr><w:t xml:space="preserve"> </w:t></w:r></w:p><w:p><w:pPr><w:numPr><w:ilvl w:val="0"/><w:numId w:val="9"/></w:numPr></w:pPr><w:r><w:rPr/><w:t xml:space="preserve">Ծրագրերի գնահատումն բաղկացած է երեք առանձնացված գործառույթներից.</w:t></w:r></w:p><w:p><w:pPr/><w:r><w:rPr/><w:t xml:space="preserve">1) Ծրագրերի նախաստուգում և դրանց հետագա ուղղորդում: Այս փուլում իրականացվում է ծրագրային հայտերի ընդհանուր համապատասխանության ստուգում, ինչպես նաև դրանց նպատակայնության, արդյունավետության և իրագործելիության նախնական գնահատում: Դրա հետ մեկտեղ, անհրաժեշտության դեպքում, այս փուլում ցուցաբերվում է նաև ծրագրային առաջարկի մշակման աջակցություն:</w:t></w:r></w:p><w:p><w:pPr/><w:r><w:rPr/><w:t xml:space="preserve">2) Ծրագրերի խորքային գնահատում, ինչպես նաև, դրա հիման վրա` ֆինանսավորման տրամադրման դրական կամ բացասական եզրակացության ներկայացում:  </w:t></w:r></w:p><w:p><w:pPr/><w:r><w:rPr/><w:t xml:space="preserve">3) Ֆինանսական հաստատության կողմից դրական եզրակացություն ստացած ծրագրերի գնահատում` դրանց վարկային տոկոսադրույքների սուբսիդավորման նպատակահարմարության որոշման նպատակով: Ընդ որում, այս փուլում իրականացվում է ՀՀ կառավարության գերակայություններին ծրագրերի համապատասախանության ստուգում և Ծրագրի նպատակների գնահատում: Ծրագրերի գնահատման այս փուլը պետք է կենտրոնանա Ծրագրերի նպատակայնության, ինչպես նաև արդյունավետության և իրագործելիության վրա:</w:t></w:r></w:p><w:p><w:pPr><w:numPr><w:ilvl w:val="0"/><w:numId w:val="10"/></w:numPr></w:pPr><w:r><w:rPr/><w:t xml:space="preserve">Սույն կարգի 5-րդ կետի`</w:t></w:r></w:p><w:p><w:pPr/><w:r><w:rPr/><w:t xml:space="preserve">1)  1-ին ենթակտում նշված գործառույթներն իրականացվում են «Հայաստանի ՓՄՁ ԶԱԿ» Հիմնադրամի մարզային կառույցների կողմից,</w:t></w:r></w:p><w:p><w:pPr/><w:r><w:rPr/><w:t xml:space="preserve">2) 2-րդ ենթակետում նշված գործառույթներն իրականացվում են ֆինանսական հաստատության կողմից («ՓՄՁ Ներդրումներ ՈՒՎԿ» ՓԲԸ, «Հայաստանի ՓՄՁ ԶԱԿ» Հիմնադրամ, Բանկեր և այլ ֆինանսական հաստատություններ),</w:t></w:r></w:p><w:p><w:pPr/><w:r><w:rPr/><w:t xml:space="preserve">3) 3-րդ ենթակետով սահմանված գործառույթներն իրականացվում են սույն կարգով սահմանվող Միջգերատեսչական գնահատող մարմնի (այսուհետ` ՄԳՄ) կողմից, որն ունի գնահատման և վերլուծական գործառույթ:</w:t></w:r></w:p><w:p><w:pPr><w:numPr><w:ilvl w:val="0"/><w:numId w:val="11"/></w:numPr></w:pPr><w:r><w:rPr/><w:t xml:space="preserve">ՄԳՄ-ն, «Հայաստանի ՓՄՁ ԶԱԿ» Հիմնադրամը և ֆինանսավորող այլ կազմակերպությունները պետք է գտնվեն մշտական սերտ կապի մեջ և մշտապես տեղեկատվություն փոխանակեն ֆինանսավորման ներկայացված և արդեն ֆինանսավորում ստացած ծրագրերի վերաբերյալ:</w:t></w:r></w:p><w:p><w:pPr><w:numPr><w:ilvl w:val="0"/><w:numId w:val="11"/></w:numPr></w:pPr><w:r><w:rPr/><w:t xml:space="preserve">Նախաստուգման արդյունքներով` սույն կարգի 15-րդ կետով սահմանված սկզբունքներին և մոտեցումներին համապատասխանող ծրագրերը «Հայաստանի ՓՄՁ ԶԱԿ» Հիմնադրամի մարզային կառույցների կողմից ուղղորդվում են համապատասխան ֆինանսական հաստատություններ:</w:t></w:r></w:p><w:p><w:pPr><w:numPr><w:ilvl w:val="0"/><w:numId w:val="11"/></w:numPr></w:pPr><w:r><w:rPr/><w:t xml:space="preserve">Ֆինանսական հաստատություններում խորքային գնահատման արդյունքներով կայացվում է ֆինանսավորման տրամադրման դրական կամ բացասական եզրակացություն:</w:t></w:r></w:p><w:p><w:pPr><w:numPr><w:ilvl w:val="0"/><w:numId w:val="11"/></w:numPr></w:pPr><w:r><w:rPr/><w:t xml:space="preserve">Ֆինանսական հաստատությունների կողմից ֆինանսավորման տրամադրման դրական եզրակացություն ստացած և պետական աջակցություն ակնկալող ծրագրերը «Հայաստանի ՓՄՁ ԶԱԿ» Հիմնադրամի կողմից ներկայացվում են ՀՀ տարածքային կառավարման և զարգացման նախարարություն (այսուհետ` Նախարարություն)` ծրագրերի վարկային տոկոսադրույքների սուբսիդավորման նպատակով սույն կարգով սահմանվող ՄԳՄ-ի քննարկմանը ներկայացնելու համար: Յուրաքանչյուր ծրագրի հետ մեկտեղ Նախարարություն է ներկայացվում գործարարի կողմից լրացված սուբսիդավորման հայտ (այսուհետև՝ Հայտ):</w:t></w:r></w:p><w:p><w:pPr><w:numPr><w:ilvl w:val="0"/><w:numId w:val="11"/></w:numPr></w:pPr><w:r><w:rPr/><w:t xml:space="preserve">ՄԳՄ-ի անդամները սուբսիդավորում ակնկալող ծրագրերը ստանալուց հետո մեկշաբաթյա ժամկետում իրենց գնահատականը ներկայացնում են Նախարարություն: Նախարարությունը կարծիքները ստանալուց հետո մեկշաբաթյա ժամկետում ամփոփում է գնահատականները և հրավիրում է սույն կարգով սահմանվող ՄԳՄ-ի նիստ:</w:t></w:r></w:p><w:p><w:pPr><w:numPr><w:ilvl w:val="0"/><w:numId w:val="11"/></w:numPr></w:pPr><w:r><w:rPr/><w:t xml:space="preserve">ՄԳՄ-ն Ֆինանսական հաստատությունների կողմից դրական եզրակացություն ստացած ծրագրերի համար սուբսիդավորման որոշում է կայացնում սուբսիդավորման հայտը ստանալուց հետո առավելագույնը 14-օրյա ժամկետում:</w:t></w:r></w:p><w:p><w:pPr><w:numPr><w:ilvl w:val="0"/><w:numId w:val="11"/></w:numPr></w:pPr><w:r><w:rPr/><w:t xml:space="preserve">ՄԳՄ-ն գործում է ներքին կանոնակարգին համապատասխան: Ծրագրերի վարկային տոկոսների սուբսիդավորման որոշումն ընդունվում է ՄԳՄ անդամների կողմից գնահատման արդյունքների հիման վրա:</w:t></w:r></w:p><w:p><w:pPr><w:numPr><w:ilvl w:val="0"/><w:numId w:val="11"/></w:numPr></w:pPr><w:r><w:rPr/><w:t xml:space="preserve">Ծրագրերի վարկային տոկոսադրույքների սուբսիդավորման չափը կազմում է տարեկան վեց տոկոս վարկի մայր գումարի մնացորդի վրա: Ընդհանուր մեկ վարկի գծով տրամադրվող սուբսիդիայի գումարը չի կարող գերազանցել 20,000.000 (քսան միլիոն) ՀՀ դրամը:</w:t></w:r></w:p><w:p><w:pPr/><w:r><w:rPr/><w:t xml:space="preserve"> </w:t></w:r></w:p><w:p><w:pPr><w:numPr><w:ilvl w:val="0"/><w:numId w:val="12"/></w:numPr></w:pPr><w:r><w:rPr><w:b w:val="1"/><w:bCs w:val="1"/></w:rPr><w:t xml:space="preserve">ԾՐԱԳՐԵՐԻ ԳՆԱՀԱՏՄԱՆ ՍԿԶԲՈՒՆՔՆԵՐԸ</w:t></w:r></w:p><w:p><w:pPr/><w:r><w:rPr><w:b w:val="1"/><w:bCs w:val="1"/></w:rPr><w:t xml:space="preserve"> </w:t></w:r></w:p><w:p><w:pPr><w:numPr><w:ilvl w:val="0"/><w:numId w:val="13"/></w:numPr></w:pPr><w:r><w:rPr/><w:t xml:space="preserve">Ներդրումային առաջարկների գնահատման համար կիրառվում են հետևյալ մոտեցումներն ու սկզբունքները.</w:t></w:r></w:p><w:p><w:pPr><w:numPr><w:ilvl w:val="0"/><w:numId w:val="14"/></w:numPr></w:pPr><w:r><w:rPr/><w:t xml:space="preserve">Ծրագրային առաջարկները պետք է համապատասխանեն առկա ռազմավարություններին և ունենան շոշափելի ազդեցություն դրանց իրագործման վրա (միջնաժամկետ և երկարաժամկետ կտրվածքով):</w:t></w:r></w:p><w:p><w:pPr><w:numPr><w:ilvl w:val="0"/><w:numId w:val="14"/></w:numPr></w:pPr><w:r><w:rPr/><w:t xml:space="preserve">Պետք է գնահատվի առաջակվող ծրագրերի փոխկապակցվածությունը ներկա և հեռանկարային տարածաշրջանային ծրագրերի հետ:</w:t></w:r></w:p><w:p><w:pPr><w:numPr><w:ilvl w:val="0"/><w:numId w:val="14"/></w:numPr></w:pPr><w:r><w:rPr/><w:t xml:space="preserve">Տարածքային համամասնությունների և գյուղական խնդիրների մասով ծրագրային առաջարկները պետք է գնահատվեն տարածքների և գյուղերի զարգացման տեսանկյունից, ինչպես նաև առանձին բնակավայրերի վրա դրանց ազդեցության տեսանկյունից.</w:t></w:r></w:p><w:p><w:pPr><w:numPr><w:ilvl w:val="0"/><w:numId w:val="14"/></w:numPr></w:pPr><w:r><w:rPr/><w:t xml:space="preserve">Ծրագիրը պետք է հիմնավորված լինի տնտեսական վերլուծություններով, որոնք պետք է ներառեն ծախսերի արդյունավետության վերլուծություններ («ծախս-արդյունքներ» վերլուծություն):</w:t></w:r></w:p><w:p><w:pPr><w:numPr><w:ilvl w:val="0"/><w:numId w:val="14"/></w:numPr></w:pPr><w:r><w:rPr/><w:t xml:space="preserve">Ծրագրով նախատեսվող ծախսերը պետք է լինեն իրատեսական, ֆինանսական հաշվարկները և նախահաշիվները` հնարավորինս հստակ, հիմնավոր և մանրամասն:</w:t></w:r></w:p><w:p><w:pPr><w:numPr><w:ilvl w:val="0"/><w:numId w:val="14"/></w:numPr></w:pPr><w:r><w:rPr/><w:t xml:space="preserve">Ծրագրով ակնկալվող արդյուքները պետք է լինեն գնահատելի/չափելի, ինչպես նաև ունենան սոցիալական ազդեցություն համայնքների զարգացման վրա:</w:t></w:r></w:p><w:p><w:pPr><w:numPr><w:ilvl w:val="0"/><w:numId w:val="14"/></w:numPr></w:pPr><w:r><w:rPr/><w:t xml:space="preserve">Ծրագրային առաջարկը պետք է գնահատվի դրված նպատակների իրագործելիության տեսանկյունից, պետք է ներառված լինեն նպատակների իրագործելիության հիմնավորումներ` ներառյալ կառավարման համապատասխան մոտեցումները, ինչպես նաև փորձը տվյալ բնագավառում:</w:t></w:r></w:p><w:p><w:pPr><w:numPr><w:ilvl w:val="0"/><w:numId w:val="14"/></w:numPr></w:pPr><w:r><w:rPr/><w:t xml:space="preserve">Յուրաքանչյուր ծրագրի համար անհրաժեշտ է դիտարկել դրա համապատասխանությունն առկա ներքին օրենսդրությանը և միջազգային համաձայնագրերին:</w:t></w:r></w:p><w:p><w:pPr><w:numPr><w:ilvl w:val="0"/><w:numId w:val="14"/></w:numPr></w:pPr><w:r><w:rPr/><w:t xml:space="preserve">Ծրագրերը պետք է պարունակեն հստակ տեղեկատվություն գնահատման գործոններից յուրաքանչյուրի մասով, որպեսզի հնարավոր լինի իրականացնել ծրագրերի բազմակողմանի գնահատում:</w:t></w:r></w:p><w:p><w:pPr><w:numPr><w:ilvl w:val="0"/><w:numId w:val="14"/></w:numPr></w:pPr><w:r><w:rPr/><w:t xml:space="preserve">Յուրաքանչյուր ծրագրային առաջարկ պետք է պարունակի առանձին մաս` նվիրված ռիսկերի գնահատմանը: Ռիսկերի գնահատման ժամանակ անհրաժեշտ է հաշվի առնել ծրագրի իրագործման հնարավոր խոչընդոտները, որոնք կարող են լինել ֆինանսական, տեխնիկական, օրենսդրական, կարողությունների և ռեսուրսների օգտագործմանը կամ շրջակա միջավայրի և սոցիալական ազդեցությանը վերաբերող և այլն:</w:t></w:r></w:p><w:p><w:pPr><w:numPr><w:ilvl w:val="0"/><w:numId w:val="14"/></w:numPr></w:pPr><w:r><w:rPr/><w:t xml:space="preserve">Ծրագրային առաջարկները պետք է պարունակեն`</w:t></w:r></w:p><w:p><w:pPr/><w:r><w:rPr/><w:t xml:space="preserve">ա) ներդրման աղբյուրները` (i) երկարաժամկետ վարկային միջոցներ, (ii) սեփական ներդրումներ, (iii) այլ աղբյուրներ: Ընդ որում, սեփական ներդրումները պետք է կազմեն ընդհանուր ներդրումների առնվազն 30 տոկոսը` առկա դրամական միջոցների տեսքով,</w:t></w:r></w:p><w:p><w:pPr/><w:r><w:rPr/><w:t xml:space="preserve">բ) ստեղծվող լրացուցիչ զբաղվածությունը (հարաբերական դրա իրագործման համար պահանջվող ծախսերին), այդ թվում՝ հստակ առանձնացված հիմնական և սեզոնային աշխատատեղերի բաժանմամբ,</w:t></w:r></w:p><w:p><w:pPr/><w:r><w:rPr/><w:t xml:space="preserve">գ) առաջարկվող ապրանքի/ծառայության շուկայի վերլուծությունը,</w:t></w:r></w:p><w:p><w:pPr/><w:r><w:rPr/><w:t xml:space="preserve">դ) պլանավորվող գնային քաղաքականությունը, արտադրանքի/ծառայության ինքնարժեքը,</w:t></w:r></w:p><w:p><w:pPr/><w:r><w:rPr/><w:t xml:space="preserve">ե) վաճառքի ուղղությունները,</w:t></w:r></w:p><w:p><w:pPr/><w:r><w:rPr/><w:t xml:space="preserve">զ) իրացումից ակնկալվող հասույթը,</w:t></w:r></w:p><w:p><w:pPr/><w:r><w:rPr/><w:t xml:space="preserve">է) համախառն շահույթը, զուտ շահույթը,</w:t></w:r></w:p><w:p><w:pPr/><w:r><w:rPr/><w:t xml:space="preserve">ը)  շահութաբերության ցուցանիշները,</w:t></w:r></w:p><w:p><w:pPr/><w:r><w:rPr/><w:t xml:space="preserve">թ) ներդրված միջոցների հետգնման ժամկետը,</w:t></w:r></w:p><w:p><w:pPr/><w:r><w:rPr/><w:t xml:space="preserve">ժ) ազատ գրավի առարկայի առկայությունը,</w:t></w:r></w:p><w:p><w:pPr/><w:r><w:rPr/><w:t xml:space="preserve">ի) ներդրումների արդյունավետության ցուցանիշները:</w:t></w:r></w:p><w:p><w:pPr><w:numPr><w:ilvl w:val="0"/><w:numId w:val="15"/></w:numPr></w:pPr><w:r><w:rPr/><w:t xml:space="preserve">Ծրագրային առաջարկներում նշված տեղեկատվության բացակայության կամ թերի լինելու դեպքում այդ ծրագրային առաջարկները կդիտարկվեն թերի կամ անհամապատասխան և կվերադարձվեն մշակողին` վերամշակման:</w:t></w:r></w:p><w:p><w:pPr><w:numPr><w:ilvl w:val="0"/><w:numId w:val="15"/></w:numPr></w:pPr><w:r><w:rPr/><w:t xml:space="preserve">Սույն կետի «ա» ենթակետով սահմանված պայմանին չբավարարելու դեպքում և մինչև 10,000.000 (տաս միլիոն) ՀՀ դրամ վարկային միջոցներ ակնկալող ծրագրային առաջարկը չի դիտարկվում:</w:t></w:r></w:p><w:p><w:pPr/><w:r><w:rPr/><w:t xml:space="preserve"> </w:t></w:r></w:p><w:p><w:pPr/><w:r><w:rPr/><w:t xml:space="preserve"> </w:t></w:r></w:p><w:p><w:pPr><w:numPr><w:ilvl w:val="0"/><w:numId w:val="16"/></w:numPr></w:pPr><w:r><w:rPr><w:b w:val="1"/><w:bCs w:val="1"/></w:rPr><w:t xml:space="preserve"> ԾՐԱԳՐԵՐԻ ԳՆԱՀԱՏՄԱՆ ԻՆՍՏԻՏՈՒՑԻՈՆԱԼ ՄՈԴԵԼԸ</w:t></w:r><w:r><w:rPr><w:b w:val="1"/><w:bCs w:val="1"/></w:rPr><w:t xml:space="preserve"> ԵՎ</w:t></w:r><w:r><w:rPr/><w:t xml:space="preserve"> </w:t></w:r><w:r><w:rPr><w:b w:val="1"/><w:bCs w:val="1"/></w:rPr><w:t xml:space="preserve">ԳՆԱՀԱՏՈՂ</w:t></w:r><w:r><w:rPr/><w:t xml:space="preserve"> </w:t></w:r><w:r><w:rPr><w:b w:val="1"/><w:bCs w:val="1"/></w:rPr><w:t xml:space="preserve">ՄԱՐՄՆԻ</w:t></w:r><w:r><w:rPr/><w:t xml:space="preserve"> </w:t></w:r><w:r><w:rPr><w:b w:val="1"/><w:bCs w:val="1"/></w:rPr><w:t xml:space="preserve">ԸՆՏՐՈՒԹՅՈՒՆԸ</w:t></w:r></w:p><w:p><w:pPr/><w:r><w:rPr/><w:t xml:space="preserve"> </w:t></w:r></w:p><w:p><w:pPr><w:numPr><w:ilvl w:val="0"/><w:numId w:val="17"/></w:numPr></w:pPr><w:r><w:rPr/><w:t xml:space="preserve">Ծրագրերի գնահատման համակարգի ներդրումը ենթադրում է ինստիտուցիոնալ համակարգի ձևավորում, որը կապահովի գնահատման գործընթացի իրականացումը:</w:t></w:r></w:p><w:p><w:pPr><w:numPr><w:ilvl w:val="0"/><w:numId w:val="17"/></w:numPr></w:pPr><w:r><w:rPr/><w:t xml:space="preserve">Գնահատման գործընթացի կազմակերպման պատասխանատու է հանդիսանում ՄԳՄ-ն, որի հիմնական խնդիրներն են.</w:t></w:r></w:p><w:p><w:pPr><w:numPr><w:ilvl w:val="0"/><w:numId w:val="18"/></w:numPr></w:pPr><w:r><w:rPr/><w:t xml:space="preserve">ծրագրերի գնահատման համակարգերի ապահովումը,</w:t></w:r></w:p><w:p><w:pPr><w:numPr><w:ilvl w:val="0"/><w:numId w:val="18"/></w:numPr></w:pPr><w:r><w:rPr/><w:t xml:space="preserve">ներդրումների վերլուծության և գնահատման հնարավորությունների ընդլայնումը, որոշումների կայացման անաչառություն և շահերի բախման բացառումը,</w:t></w:r></w:p><w:p><w:pPr><w:numPr><w:ilvl w:val="0"/><w:numId w:val="18"/></w:numPr></w:pPr><w:r><w:rPr/><w:t xml:space="preserve">պրոֆեսիոնալ և վստահելի գնահատման իրականացումը,</w:t></w:r></w:p><w:p><w:pPr><w:numPr><w:ilvl w:val="0"/><w:numId w:val="18"/></w:numPr></w:pPr><w:r><w:rPr/><w:t xml:space="preserve">գերակայություններին և ընտրված մեթոդաբանության առավելագույն համապա- տասխանությունը,</w:t></w:r></w:p><w:p><w:pPr><w:numPr><w:ilvl w:val="0"/><w:numId w:val="18"/></w:numPr></w:pPr><w:r><w:rPr/><w:t xml:space="preserve">գնահատման գործընթացի թափանցիկությունը:</w:t></w:r></w:p><w:p><w:pPr/><w:r><w:rPr/><w:t xml:space="preserve">                                  </w:t></w:r></w:p><w:p><w:pPr><w:numPr><w:ilvl w:val="0"/><w:numId w:val="19"/></w:numPr></w:pPr><w:r><w:rPr/><w:t xml:space="preserve">                  </w:t></w:r><w:r><w:rPr><w:b w:val="1"/><w:bCs w:val="1"/></w:rPr><w:t xml:space="preserve">     ԳՆԱՀԱՏՈՂ ՄԱՐՄԻՆԸ</w:t></w:r></w:p><w:p><w:pPr/><w:r><w:rPr><w:b w:val="1"/><w:bCs w:val="1"/></w:rPr><w:t xml:space="preserve"> </w:t></w:r></w:p><w:p><w:pPr><w:numPr><w:ilvl w:val="0"/><w:numId w:val="20"/></w:numPr></w:pPr><w:r><w:rPr/><w:t xml:space="preserve">ՄԳՄ-ն իրականացնում է իր գործունեությունը միջգերատեչական հանձնաժողովի միջոցով` ներգավվելով համապատասխան ներկայացուցիչներ` հետևյալ գերատեսչություններից.</w:t></w:r></w:p><w:p><w:pPr><w:numPr><w:ilvl w:val="0"/><w:numId w:val="21"/></w:numPr></w:pPr><w:r><w:rPr/><w:t xml:space="preserve">ՀՀ տարածքային կառավարման և զարգացման նախարարություն</w:t></w:r></w:p><w:p><w:pPr><w:numPr><w:ilvl w:val="0"/><w:numId w:val="21"/></w:numPr></w:pPr><w:r><w:rPr/><w:t xml:space="preserve">ՀՀ տնտեսական զարգացման և ներդրումների նախարարություն</w:t></w:r></w:p><w:p><w:pPr><w:numPr><w:ilvl w:val="0"/><w:numId w:val="21"/></w:numPr></w:pPr><w:r><w:rPr/><w:t xml:space="preserve">ՀՀ ֆինանսների նախարարություն</w:t></w:r></w:p><w:p><w:pPr><w:numPr><w:ilvl w:val="0"/><w:numId w:val="21"/></w:numPr></w:pPr><w:r><w:rPr/><w:t xml:space="preserve">ՀՀ գյուղատնտեսության նախարարություն</w:t></w:r></w:p><w:p><w:pPr><w:numPr><w:ilvl w:val="0"/><w:numId w:val="21"/></w:numPr></w:pPr><w:r><w:rPr/><w:t xml:space="preserve">ՀՀ կենտրոնական բանկ</w:t></w:r></w:p><w:p><w:pPr><w:numPr><w:ilvl w:val="0"/><w:numId w:val="21"/></w:numPr></w:pPr><w:r><w:rPr/><w:t xml:space="preserve">«Հայաստանի ռազմավարական նախաձեռնությունների կենտրոն» հիմնադրամ</w:t></w:r></w:p><w:p><w:pPr><w:numPr><w:ilvl w:val="0"/><w:numId w:val="21"/></w:numPr></w:pPr><w:r><w:rPr/><w:t xml:space="preserve">«ՓՄՁ ներդրումներ ՈՒՎԿ» ՓԲԸ</w:t></w:r></w:p><w:p><w:pPr><w:numPr><w:ilvl w:val="0"/><w:numId w:val="21"/></w:numPr></w:pPr><w:r><w:rPr/><w:t xml:space="preserve">«Հայաստանի ՓՄՁ ԶԱԿ» Հիմնադրամ:</w:t></w:r></w:p><w:p><w:pPr><w:numPr><w:ilvl w:val="0"/><w:numId w:val="22"/></w:numPr></w:pPr><w:r><w:rPr><w:b w:val="1"/><w:bCs w:val="1"/></w:rPr><w:t xml:space="preserve"> ՄԻՋԳԵՐԱՏԵՍՉԱԿԱՆ </w:t></w:r><w:r><w:rPr><w:b w:val="1"/><w:bCs w:val="1"/></w:rPr><w:t xml:space="preserve">ԳՆԱՀԱՏՈՂ</w:t></w:r><w:r><w:rPr/><w:t xml:space="preserve"> </w:t></w:r><w:r><w:rPr><w:b w:val="1"/><w:bCs w:val="1"/></w:rPr><w:t xml:space="preserve">ՄԱՐՄՆԻ</w:t></w:r><w:r><w:rPr/><w:t xml:space="preserve"> </w:t></w:r><w:r><w:rPr><w:b w:val="1"/><w:bCs w:val="1"/></w:rPr><w:t xml:space="preserve">ՀԻՄՆԱԿԱՆ</w:t></w:r><w:r><w:rPr/><w:t xml:space="preserve"> </w:t></w:r><w:r><w:rPr><w:b w:val="1"/><w:bCs w:val="1"/></w:rPr><w:t xml:space="preserve">ԳՈՐԾԱՌՈՒՅԹՆԵՐԸ</w:t></w:r></w:p><w:p><w:pPr/><w:r><w:rPr><w:b w:val="1"/><w:bCs w:val="1"/></w:rPr><w:t xml:space="preserve"> </w:t></w:r></w:p><w:p><w:pPr><w:numPr><w:ilvl w:val="0"/><w:numId w:val="23"/></w:numPr></w:pPr><w:r><w:rPr/><w:t xml:space="preserve">ՄԳՄ-ի հիմնական գործառույթներն են.</w:t></w:r></w:p><w:p><w:pPr><w:numPr><w:ilvl w:val="0"/><w:numId w:val="24"/></w:numPr></w:pPr><w:r><w:rPr/><w:t xml:space="preserve">Ծրագրերի մշակման ձևաչափերի մշակում և սահմանում,</w:t></w:r></w:p><w:p><w:pPr><w:numPr><w:ilvl w:val="0"/><w:numId w:val="24"/></w:numPr></w:pPr><w:r><w:rPr/><w:t xml:space="preserve">գնահատման մոդելների և գործիքների ներդրում,</w:t></w:r></w:p><w:p><w:pPr><w:numPr><w:ilvl w:val="0"/><w:numId w:val="24"/></w:numPr></w:pPr><w:r><w:rPr/><w:t xml:space="preserve">Ծրագրերի գնահատման ժամանակացույցի կազմում,</w:t></w:r></w:p><w:p><w:pPr><w:numPr><w:ilvl w:val="0"/><w:numId w:val="24"/></w:numPr></w:pPr><w:r><w:rPr/><w:t xml:space="preserve">վարկային տոկոսների սուբսիդավորման ենթակա Ծրագրերի ընտրության նպատակով` ֆինանսական հաստատությունների կողմից դրական եզրակացություն ստացած Ծրագրերի վերլուծություն և գնահատում.</w:t></w:r></w:p><w:p><w:pPr><w:numPr><w:ilvl w:val="0"/><w:numId w:val="24"/></w:numPr></w:pPr><w:r><w:rPr/><w:t xml:space="preserve">վարկային տոկոսների սուբսիդավորման նպատակով ընտրված Ծրագրերի ներկայացում համապատասխան կառույց.</w:t></w:r></w:p><w:p><w:pPr><w:numPr><w:ilvl w:val="0"/><w:numId w:val="24"/></w:numPr></w:pPr><w:r><w:rPr/><w:t xml:space="preserve">յուրաքանչյուր ծրագրի համար վարկային տոկոսների սուբսիդավորման չափի, ժամկետների և վճարման կարգի վերաբերյալ առաջարկությունների ներկայացում.</w:t></w:r></w:p><w:p><w:pPr><w:numPr><w:ilvl w:val="0"/><w:numId w:val="24"/></w:numPr></w:pPr><w:r><w:rPr/><w:t xml:space="preserve">անհրաժեշտության դեպքում` յուրաքանչյուր տարի ծրագրերի իրականացման համար առաջնահերթ ուղղությունների և ոլորտների սահմանում.</w:t></w:r></w:p><w:p><w:pPr><w:numPr><w:ilvl w:val="0"/><w:numId w:val="24"/></w:numPr></w:pPr><w:r><w:rPr/><w:t xml:space="preserve">պետական աջակցությամբ սուբսիդավորված Ծրագրերի մշտադիտարկման մեխանիզմի կազմակերպում:</w:t></w:r></w:p><w:p><w:pPr><w:numPr><w:ilvl w:val="0"/><w:numId w:val="25"/></w:numPr></w:pPr><w:r><w:rPr/><w:t xml:space="preserve">ՄԳՄ-ի աշխատակարգը սահմանում է Հայաստանի Հանրապետության վարչապետը:</w:t></w:r></w:p><w:p><w:pPr/><w:r><w:rPr/><w:t xml:space="preserve"> </w:t></w:r></w:p><w:p><w:pPr/><w:r><w:rPr><w:b w:val="1"/><w:bCs w:val="1"/></w:rPr><w:t xml:space="preserve">VII.  ԾՐԱԳՐԵՐԻ ԱՐԴՅՈՒՆԱՎԵՏՈՒԹՅԱՆ ԲԱԶՄԱԳՈՐԾՈՆ ԳՆԱՀԱՏՈՒՄԸ</w:t></w:r></w:p><w:p><w:pPr/><w:r><w:rPr><w:b w:val="1"/><w:bCs w:val="1"/></w:rPr><w:t xml:space="preserve"> </w:t></w:r></w:p><w:p><w:pPr><w:numPr><w:ilvl w:val="0"/><w:numId w:val="26"/></w:numPr></w:pPr><w:r><w:rPr/><w:t xml:space="preserve">Ֆինանսական հաստատությունների կողմից ֆինանսավորման տրամադրման դրական եզրակացություն ստացած և պետական աջակցություն ակնկալող Ծրագրերի ընդգրկուն գնահատում իրականացնելու նպատակով սահմանվում են բազմագործոն չափորոշիչներ, ըստ որոնց հարկավոր է իրականացնել գնահատումը:</w:t></w:r></w:p><w:p><w:pPr/><w:r><w:rPr/><w:t xml:space="preserve"> </w:t></w:r></w:p><w:p><w:pPr><w:numPr><w:ilvl w:val="0"/><w:numId w:val="27"/></w:numPr></w:pPr><w:r><w:rPr/><w:t xml:space="preserve">Ծրագրերի գնահատման բազմագործոն գործակիցներն ըստ չափորոշիչների`     </w:t></w:r></w:p><w:p><w:pPr/><w:r><w:rPr/><w:t xml:space="preserve"> </w:t></w:r></w:p><w:p><w:pPr/><w:r><w:rPr/><w:t xml:space="preserve">1) Ծրագրի ոլորտ</w:t></w:r></w:p><w:p><w:pPr/><w:r><w:rPr><w:b w:val="1"/><w:bCs w:val="1"/></w:rPr><w:t xml:space="preserve"> </w:t></w:r></w:p><w:tbl><w:tblGrid><w:gridCol w:w="8115" w:type="dxa"/><w:gridCol w:w="1800" w:type="dxa"/></w:tblGrid><w:tblPr><w:tblW w:w="9915" w:type="dxa"/><w:tblLayout w:type="autofit"/></w:tblPr><w:tr><w:trPr/><w:tc><w:tcPr><w:tcW w:w="8115" w:type="dxa"/><w:noWrap/></w:tcPr><w:p><w:pPr/><w:r><w:rPr><w:b w:val="1"/><w:bCs w:val="1"/></w:rPr><w:t xml:space="preserve">1-ին ենթաչափորոշիչներ</w:t></w:r></w:p></w:tc><w:tc><w:tcPr><w:tcW w:w="1800" w:type="dxa"/><w:noWrap/></w:tcPr><w:p><w:pPr/><w:r><w:rPr><w:b w:val="1"/><w:bCs w:val="1"/></w:rPr><w:t xml:space="preserve"> գործակից</w:t></w:r></w:p></w:tc></w:tr><w:tr><w:trPr/><w:tc><w:tcPr><w:tcW w:w="8115" w:type="dxa"/><w:noWrap/></w:tcPr><w:p><w:pPr/><w:r><w:rPr/><w:t xml:space="preserve">Մարզի զարգացման ռազմավարությամբ գերակա ճանաչված ոլորտ</w:t></w:r></w:p></w:tc><w:tc><w:tcPr><w:tcW w:w="1800" w:type="dxa"/><w:noWrap/></w:tcPr><w:p><w:pPr/><w:r><w:rPr/><w:t xml:space="preserve">10</w:t></w:r></w:p></w:tc></w:tr><w:tr><w:trPr/><w:tc><w:tcPr><w:tcW w:w="8115" w:type="dxa"/><w:noWrap/></w:tcPr><w:p><w:pPr/><w:r><w:rPr/><w:t xml:space="preserve">Ոլորտային զարգացման ռազմավարություններում գերակա ճանաչված ոլորտ</w:t></w:r></w:p></w:tc><w:tc><w:tcPr><w:tcW w:w="1800" w:type="dxa"/><w:noWrap/></w:tcPr><w:p><w:pPr/><w:r><w:rPr/><w:t xml:space="preserve">7</w:t></w:r></w:p></w:tc></w:tr><w:tr><w:trPr/><w:tc><w:tcPr><w:tcW w:w="8115" w:type="dxa"/><w:noWrap/></w:tcPr><w:p><w:pPr/><w:r><w:rPr/><w:t xml:space="preserve">Մարզի կամ համայնքի մրցակցային առավելություններն օգտագործող ոլորտ</w:t></w:r></w:p></w:tc><w:tc><w:tcPr><w:tcW w:w="1800" w:type="dxa"/><w:noWrap/></w:tcPr><w:p><w:pPr/><w:r><w:rPr/><w:t xml:space="preserve">4</w:t></w:r></w:p></w:tc></w:tr></w:tbl><w:p><w:pPr/><w:r><w:rPr/><w:t xml:space="preserve">       </w:t></w:r></w:p><w:p><w:pPr/><w:r><w:rPr/><w:t xml:space="preserve"> </w:t></w:r></w:p><w:p><w:pPr/><w:r><w:rPr/><w:t xml:space="preserve">       2)  Աշխարհագրական դիրք</w:t></w:r></w:p><w:p><w:pPr/><w:r><w:rPr/><w:t xml:space="preserve"> </w:t></w:r></w:p><w:tbl><w:tblGrid><w:gridCol w:w="8115" w:type="dxa"/><w:gridCol w:w="1800" w:type="dxa"/></w:tblGrid><w:tblPr><w:tblW w:w="9915" w:type="dxa"/><w:tblLayout w:type="autofit"/></w:tblPr><w:tr><w:trPr/><w:tc><w:tcPr><w:tcW w:w="8115" w:type="dxa"/><w:noWrap/></w:tcPr><w:p><w:pPr/><w:r><w:rPr><w:b w:val="1"/><w:bCs w:val="1"/></w:rPr><w:t xml:space="preserve">2-րդ  ենթաչափորոշիչներ</w:t></w:r></w:p></w:tc><w:tc><w:tcPr><w:tcW w:w="1800" w:type="dxa"/><w:noWrap/></w:tcPr><w:p><w:pPr/><w:r><w:rPr><w:b w:val="1"/><w:bCs w:val="1"/></w:rPr><w:t xml:space="preserve"> գործակից</w:t></w:r></w:p></w:tc></w:tr><w:tr><w:trPr/><w:tc><w:tcPr><w:tcW w:w="8115" w:type="dxa"/><w:noWrap/></w:tcPr><w:p><w:pPr/><w:r><w:rPr/><w:t xml:space="preserve">Սահմանամերձ և  բարձր լեռնային համայնք</w:t></w:r></w:p></w:tc><w:tc><w:tcPr><w:tcW w:w="1800" w:type="dxa"/><w:noWrap/></w:tcPr><w:p><w:pPr/><w:r><w:rPr/><w:t xml:space="preserve">10</w:t></w:r></w:p></w:tc></w:tr><w:tr><w:trPr/><w:tc><w:tcPr><w:tcW w:w="8115" w:type="dxa"/><w:noWrap/></w:tcPr><w:p><w:pPr/><w:r><w:rPr/><w:t xml:space="preserve">Մայրաքաղաքից, մարզկենտրոնից/ շրջկենտրոնից  առավել հեռավորություն ունեցող համայնք</w:t></w:r></w:p></w:tc><w:tc><w:tcPr><w:tcW w:w="1800" w:type="dxa"/><w:noWrap/></w:tcPr><w:p><w:pPr/><w:r><w:rPr/><w:t xml:space="preserve">4</w:t></w:r></w:p></w:tc></w:tr><w:tr><w:trPr/><w:tc><w:tcPr><w:tcW w:w="8115" w:type="dxa"/><w:noWrap/></w:tcPr><w:p><w:pPr/><w:r><w:rPr/><w:t xml:space="preserve">Այլ</w:t></w:r></w:p></w:tc><w:tc><w:tcPr><w:tcW w:w="1800" w:type="dxa"/><w:noWrap/></w:tcPr><w:p><w:pPr/><w:r><w:rPr/><w:t xml:space="preserve">1</w:t></w:r></w:p></w:tc></w:tr></w:tbl><w:p><w:pPr/><w:r><w:rPr/><w:t xml:space="preserve"> </w:t></w:r></w:p><w:p><w:pPr><w:numPr><w:ilvl w:val="0"/><w:numId w:val="28"/></w:numPr></w:pPr><w:r><w:rPr/><w:t xml:space="preserve">Համաֆինանսավորում</w:t></w:r></w:p><w:p><w:pPr/><w:r><w:rPr/><w:t xml:space="preserve"> </w:t></w:r></w:p><w:tbl><w:tblGrid><w:gridCol w:w="8115" w:type="dxa"/><w:gridCol w:w="1800" w:type="dxa"/></w:tblGrid><w:tblPr><w:tblW w:w="9915" w:type="dxa"/><w:tblLayout w:type="autofit"/></w:tblPr><w:tr><w:trPr/><w:tc><w:tcPr><w:tcW w:w="8115" w:type="dxa"/><w:noWrap/></w:tcPr><w:p><w:pPr/><w:r><w:rPr><w:b w:val="1"/><w:bCs w:val="1"/></w:rPr><w:t xml:space="preserve">3րդ ենթաչափորոշիչներ</w:t></w:r></w:p><w:p><w:pPr/><w:r><w:rPr><w:b w:val="1"/><w:bCs w:val="1"/></w:rPr><w:t xml:space="preserve">(ներդրողի կողմից համաֆինանսավորման չափը)</w:t></w:r></w:p></w:tc><w:tc><w:tcPr><w:tcW w:w="1800" w:type="dxa"/><w:noWrap/></w:tcPr><w:p><w:pPr/><w:r><w:rPr><w:b w:val="1"/><w:bCs w:val="1"/></w:rPr><w:t xml:space="preserve"> գործակից</w:t></w:r></w:p></w:tc></w:tr><w:tr><w:trPr/><w:tc><w:tcPr><w:tcW w:w="8115" w:type="dxa"/><w:noWrap/></w:tcPr><w:p><w:pPr/><w:r><w:rPr/><w:t xml:space="preserve">76%-ից ավելի</w:t></w:r></w:p></w:tc><w:tc><w:tcPr><w:tcW w:w="1800" w:type="dxa"/><w:noWrap/></w:tcPr><w:p><w:pPr/><w:r><w:rPr/><w:t xml:space="preserve">10</w:t></w:r></w:p></w:tc></w:tr><w:tr><w:trPr/><w:tc><w:tcPr><w:tcW w:w="8115" w:type="dxa"/><w:noWrap/></w:tcPr><w:p><w:pPr/><w:r><w:rPr/><w:t xml:space="preserve">51% - 75%</w:t></w:r></w:p></w:tc><w:tc><w:tcPr><w:tcW w:w="1800" w:type="dxa"/><w:noWrap/></w:tcPr><w:p><w:pPr/><w:r><w:rPr/><w:t xml:space="preserve">7</w:t></w:r></w:p></w:tc></w:tr><w:tr><w:trPr/><w:tc><w:tcPr><w:tcW w:w="8115" w:type="dxa"/><w:noWrap/></w:tcPr><w:p><w:pPr/><w:r><w:rPr/><w:t xml:space="preserve">30% - 50%</w:t></w:r></w:p></w:tc><w:tc><w:tcPr><w:tcW w:w="1800" w:type="dxa"/><w:noWrap/></w:tcPr><w:p><w:pPr/><w:r><w:rPr/><w:t xml:space="preserve">4</w:t></w:r></w:p></w:tc></w:tr></w:tbl><w:p><w:pPr/><w:r><w:rPr/><w:t xml:space="preserve">                                    </w:t></w:r></w:p><w:p><w:pPr/><w:r><w:rPr/><w:t xml:space="preserve">      4) Հիմնական աշխատատեղերի ստեղծում`</w:t></w:r></w:p><w:p><w:pPr/><w:r><w:rPr/><w:t xml:space="preserve">         ա/ գործող բիզնեսի ընդլայնման դեպքում</w:t></w:r></w:p><w:p><w:pPr/><w:r><w:rPr><w:b w:val="1"/><w:bCs w:val="1"/></w:rPr><w:t xml:space="preserve"> </w:t></w:r></w:p><w:tbl><w:tblGrid><w:gridCol w:w="8115" w:type="dxa"/><w:gridCol w:w="1800" w:type="dxa"/></w:tblGrid><w:tblPr><w:tblW w:w="9915" w:type="dxa"/><w:tblLayout w:type="autofit"/></w:tblPr><w:tr><w:trPr/><w:tc><w:tcPr><w:tcW w:w="8115" w:type="dxa"/><w:noWrap/></w:tcPr><w:p><w:pPr/><w:r><w:rPr><w:b w:val="1"/><w:bCs w:val="1"/></w:rPr><w:t xml:space="preserve">4-րդ  ենթաչափորոշիչներ</w:t></w:r></w:p></w:tc><w:tc><w:tcPr><w:tcW w:w="1800" w:type="dxa"/><w:noWrap/></w:tcPr><w:p><w:pPr/><w:r><w:rPr><w:b w:val="1"/><w:bCs w:val="1"/></w:rPr><w:t xml:space="preserve"> գործակից</w:t></w:r></w:p></w:tc></w:tr><w:tr><w:trPr/><w:tc><w:tcPr><w:tcW w:w="8115" w:type="dxa"/><w:noWrap/></w:tcPr><w:p><w:pPr/><w:r><w:rPr/><w:t xml:space="preserve">71% և ավել աճ</w:t></w:r></w:p></w:tc><w:tc><w:tcPr><w:tcW w:w="1800" w:type="dxa"/><w:noWrap/></w:tcPr><w:p><w:pPr/><w:r><w:rPr/><w:t xml:space="preserve">10</w:t></w:r></w:p></w:tc></w:tr><w:tr><w:trPr/><w:tc><w:tcPr><w:tcW w:w="8115" w:type="dxa"/><w:noWrap/></w:tcPr><w:p><w:pPr/><w:r><w:rPr/><w:t xml:space="preserve">30%-ից 70% աճ</w:t></w:r></w:p></w:tc><w:tc><w:tcPr><w:tcW w:w="1800" w:type="dxa"/><w:noWrap/></w:tcPr><w:p><w:pPr/><w:r><w:rPr/><w:t xml:space="preserve">7</w:t></w:r></w:p></w:tc></w:tr><w:tr><w:trPr/><w:tc><w:tcPr><w:tcW w:w="8115" w:type="dxa"/><w:noWrap/></w:tcPr><w:p><w:pPr/><w:r><w:rPr/><w:t xml:space="preserve">10%-ից 30% աճ</w:t></w:r></w:p></w:tc><w:tc><w:tcPr><w:tcW w:w="1800" w:type="dxa"/><w:noWrap/></w:tcPr><w:p><w:pPr/><w:r><w:rPr/><w:t xml:space="preserve">4</w:t></w:r></w:p></w:tc></w:tr><w:tr><w:trPr/><w:tc><w:tcPr><w:tcW w:w="8115" w:type="dxa"/><w:noWrap/></w:tcPr><w:p><w:pPr/><w:r><w:rPr/><w:t xml:space="preserve">մինչև 10%  աճ</w:t></w:r></w:p></w:tc><w:tc><w:tcPr><w:tcW w:w="1800" w:type="dxa"/><w:noWrap/></w:tcPr><w:p><w:pPr/><w:r><w:rPr/><w:t xml:space="preserve">1</w:t></w:r></w:p></w:tc></w:tr></w:tbl><w:p><w:pPr/><w:r><w:rPr/><w:t xml:space="preserve">              </w:t></w:r></w:p><w:p><w:pPr/><w:r><w:rPr/><w:t xml:space="preserve">          բ/ սկսնակ բիզնեսի դեպքում *</w:t></w:r></w:p><w:tbl><w:tblGrid><w:gridCol w:w="8115" w:type="dxa"/><w:gridCol w:w="1800" w:type="dxa"/></w:tblGrid><w:tblPr><w:tblW w:w="9915" w:type="dxa"/><w:tblLayout w:type="autofit"/></w:tblPr><w:tr><w:trPr/><w:tc><w:tcPr><w:tcW w:w="8115" w:type="dxa"/><w:noWrap/></w:tcPr><w:p><w:pPr/><w:r><w:rPr><w:b w:val="1"/><w:bCs w:val="1"/></w:rPr><w:t xml:space="preserve">4-րդ  ենթաչափորոշիչներ</w:t></w:r></w:p></w:tc><w:tc><w:tcPr><w:tcW w:w="1800" w:type="dxa"/><w:noWrap/></w:tcPr><w:p><w:pPr/><w:r><w:rPr><w:b w:val="1"/><w:bCs w:val="1"/></w:rPr><w:t xml:space="preserve"> գործակից</w:t></w:r></w:p></w:tc></w:tr><w:tr><w:trPr/><w:tc><w:tcPr><w:tcW w:w="8115" w:type="dxa"/><w:noWrap/></w:tcPr><w:p><w:pPr/><w:r><w:rPr/><w:t xml:space="preserve">21 և ավելի</w:t></w:r></w:p></w:tc><w:tc><w:tcPr><w:tcW w:w="1800" w:type="dxa"/><w:noWrap/></w:tcPr><w:p><w:pPr/><w:r><w:rPr/><w:t xml:space="preserve">10</w:t></w:r></w:p></w:tc></w:tr><w:tr><w:trPr/><w:tc><w:tcPr><w:tcW w:w="8115" w:type="dxa"/><w:noWrap/></w:tcPr><w:p><w:pPr/><w:r><w:rPr/><w:t xml:space="preserve">7-ից 20</w:t></w:r></w:p></w:tc><w:tc><w:tcPr><w:tcW w:w="1800" w:type="dxa"/><w:noWrap/></w:tcPr><w:p><w:pPr/><w:r><w:rPr/><w:t xml:space="preserve">7</w:t></w:r></w:p></w:tc></w:tr><w:tr><w:trPr/><w:tc><w:tcPr><w:tcW w:w="8115" w:type="dxa"/><w:noWrap/></w:tcPr><w:p><w:pPr/><w:r><w:rPr/><w:t xml:space="preserve">6-ից 10</w:t></w:r></w:p></w:tc><w:tc><w:tcPr><w:tcW w:w="1800" w:type="dxa"/><w:noWrap/></w:tcPr><w:p><w:pPr/><w:r><w:rPr/><w:t xml:space="preserve">4</w:t></w:r></w:p></w:tc></w:tr><w:tr><w:trPr/><w:tc><w:tcPr><w:tcW w:w="8115" w:type="dxa"/><w:noWrap/></w:tcPr><w:p><w:pPr/><w:r><w:rPr/><w:t xml:space="preserve">մինչև 5</w:t></w:r></w:p></w:tc><w:tc><w:tcPr><w:tcW w:w="1800" w:type="dxa"/><w:noWrap/></w:tcPr><w:p><w:pPr/><w:r><w:rPr/><w:t xml:space="preserve">1</w:t></w:r></w:p></w:tc></w:tr></w:tbl><w:p><w:pPr/><w:r><w:rPr><w:b w:val="1"/><w:bCs w:val="1"/></w:rPr><w:t xml:space="preserve"> </w:t></w:r></w:p><w:p><w:pPr/><w:r><w:rPr><w:b w:val="1"/><w:bCs w:val="1"/></w:rPr><w:t xml:space="preserve"> </w:t></w:r></w:p><w:p><w:pPr/><w:r><w:rPr/><w:t xml:space="preserve">    5) Արտահանում</w:t></w:r></w:p><w:tbl><w:tblGrid><w:gridCol w:w="8115" w:type="dxa"/><w:gridCol w:w="1800" w:type="dxa"/></w:tblGrid><w:tblPr><w:tblW w:w="9915" w:type="dxa"/><w:tblLayout w:type="autofit"/></w:tblPr><w:tr><w:trPr/><w:tc><w:tcPr><w:tcW w:w="8115" w:type="dxa"/><w:noWrap/></w:tcPr><w:p><w:pPr/><w:r><w:rPr><w:b w:val="1"/><w:bCs w:val="1"/></w:rPr><w:t xml:space="preserve">                                       5- րդ ենթաչափորոշիչներ</w:t></w:r></w:p><w:p><w:pPr/><w:r><w:rPr/><w:t xml:space="preserve">արտադրանքի որոշակի տոկոսը, փաստաթղթերով ապացուցված կերպով, արտահանվել է: Նշված չափորոշիչին համապատասխանում է ձեռնարկության արտադրանքի`</w:t></w:r></w:p></w:tc><w:tc><w:tcPr><w:tcW w:w="1800" w:type="dxa"/><w:noWrap/></w:tcPr><w:p><w:pPr/><w:r><w:rPr><w:b w:val="1"/><w:bCs w:val="1"/></w:rPr><w:t xml:space="preserve"> գործակից</w:t></w:r></w:p></w:tc></w:tr><w:tr><w:trPr/><w:tc><w:tcPr><w:tcW w:w="8115" w:type="dxa"/><w:noWrap/></w:tcPr><w:p><w:pPr/><w:r><w:rPr/><w:t xml:space="preserve">71%-ից ավելի</w:t></w:r></w:p></w:tc><w:tc><w:tcPr><w:tcW w:w="1800" w:type="dxa"/><w:noWrap/></w:tcPr><w:p><w:pPr/><w:r><w:rPr/><w:t xml:space="preserve">10</w:t></w:r></w:p></w:tc></w:tr><w:tr><w:trPr/><w:tc><w:tcPr><w:tcW w:w="8115" w:type="dxa"/><w:noWrap/></w:tcPr><w:p><w:pPr/><w:r><w:rPr/><w:t xml:space="preserve">31% - 70%</w:t></w:r></w:p></w:tc><w:tc><w:tcPr><w:tcW w:w="1800" w:type="dxa"/><w:noWrap/></w:tcPr><w:p><w:pPr/><w:r><w:rPr/><w:t xml:space="preserve">7</w:t></w:r></w:p></w:tc></w:tr><w:tr><w:trPr/><w:tc><w:tcPr><w:tcW w:w="8115" w:type="dxa"/><w:noWrap/></w:tcPr><w:p><w:pPr/><w:r><w:rPr/><w:t xml:space="preserve">11% - 30%</w:t></w:r></w:p></w:tc><w:tc><w:tcPr><w:tcW w:w="1800" w:type="dxa"/><w:noWrap/></w:tcPr><w:p><w:pPr/><w:r><w:rPr/><w:t xml:space="preserve">4</w:t></w:r></w:p></w:tc></w:tr><w:tr><w:trPr/><w:tc><w:tcPr><w:tcW w:w="8115" w:type="dxa"/><w:noWrap/></w:tcPr><w:p><w:pPr/><w:r><w:rPr/><w:t xml:space="preserve"> 1%- 10%</w:t></w:r></w:p></w:tc><w:tc><w:tcPr><w:tcW w:w="1800" w:type="dxa"/><w:noWrap/></w:tcPr><w:p><w:pPr/><w:r><w:rPr/><w:t xml:space="preserve">1</w:t></w:r></w:p></w:tc></w:tr></w:tbl><w:p><w:pPr/><w:r><w:rPr/><w:t xml:space="preserve">               </w:t></w:r></w:p><w:p><w:pPr><w:numPr><w:ilvl w:val="0"/><w:numId w:val="29"/></w:numPr></w:pPr><w:r><w:rPr/><w:t xml:space="preserve">Ծրագրի ընդհանուր գնահատական տրվում է՝ կիրառելով ծրագրերի գնահատման արդյունքները հետևյալ բանաձևում`  </w:t></w:r></w:p><w:p><w:pPr/><w:r><w:rPr/><w:t xml:space="preserve">           Ընդհանուր գնահատական = </w:t></w:r><w:r><w:rPr><w:u w:val="single"/></w:rPr><w:t xml:space="preserve">ենթաչափորոշիչների հանրագումար: </w:t></w:r></w:p><w:p><w:pPr/><w:r><w:rPr/><w:t xml:space="preserve">                                                                          5</w:t></w:r></w:p><w:p><w:pPr><w:numPr><w:ilvl w:val="0"/><w:numId w:val="30"/></w:numPr></w:pPr><w:r><w:rPr/><w:t xml:space="preserve">Դրական եզրակացություն տրվում է ընդհանուր գնահատման 6 և բարձր միավոր ունեցող ծրագրերին:</w:t></w:r></w:p><w:p><w:pPr><w:numPr><w:ilvl w:val="0"/><w:numId w:val="30"/></w:numPr></w:pPr><w:r><w:rPr/><w:t xml:space="preserve">Ծրագրի վարկային տոկոսադրույքի  սուբսիդավորման չափը  սահմանվում է`</w:t></w:r></w:p><w:p><w:pPr><w:numPr><w:ilvl w:val="0"/><w:numId w:val="31"/></w:numPr></w:pPr><w:r><w:rPr/><w:t xml:space="preserve">6 տոկոս սուբսիդավորում`  9-10 ընդհանուր գնահատականի դեպքում,</w:t></w:r></w:p><w:p><w:pPr><w:numPr><w:ilvl w:val="0"/><w:numId w:val="31"/></w:numPr></w:pPr><w:r><w:rPr/><w:t xml:space="preserve">5 տոկոս սուբսիդավորում`  8 ընդհանուր գնահատականի դեպքում,</w:t></w:r></w:p><w:p><w:pPr><w:numPr><w:ilvl w:val="0"/><w:numId w:val="31"/></w:numPr></w:pPr><w:r><w:rPr/><w:t xml:space="preserve">4 տոկոս սուբսիդավորում ` 7 ընդհանուր գնահատականի դեպքում</w:t></w:r></w:p><w:p><w:pPr><w:numPr><w:ilvl w:val="0"/><w:numId w:val="31"/></w:numPr></w:pPr><w:r><w:rPr/><w:t xml:space="preserve">2-3 տոկոս սուբսիդավորում`  6 ընդհանուր գնահատականի դեպքում:</w:t></w:r></w:p><w:p><w:pPr/><w:r><w:rPr/><w:t xml:space="preserve"> </w:t></w:r></w:p><w:p><w:pPr/><w:r><w:rPr/><w:t xml:space="preserve"> </w:t></w:r></w:p><w:p><w:pPr/><w:r><w:rPr/><w:t xml:space="preserve">-------------------------------</w:t></w:r></w:p><w:p><w:pPr/><w:r><w:rPr/><w:t xml:space="preserve">* Սույն կանոնակարգի իմաստով Սկսնակ են համարվում այն ձեռնարկությունները, որոնք հիմնվել են Հայտը ներկայացնելու օրվան նախորդող տարվա ընթացքում: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12C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E2B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90C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190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52645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CD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7F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2CD20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C7897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2B743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871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58F41A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15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7B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84A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3C7589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E64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181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436126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4F9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030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10EED0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421C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7EA96C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69662D1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FF2ABE6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489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9AA224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1E01579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5517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2026-03-31T22:05:49+04:00</dcterms:created>
  <dcterms:modified xsi:type="dcterms:W3CDTF">2026-03-31T22:05:49+04:00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