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սեպտեմբերի 4-ի N 958-Ն,  Հայաստանի Հանրապետության կառավարության 2014 թվականի սեպտեմբերի 25-ի N 1054-Ն, Հայաստանի Հանրապետության կառավարության 2014 թվականի դեկտեմբերի 11-ի N 1394-Ն, Հայաստանի Հանրապետության կառավարության 2014 թվականի դեկտեմբերի 11-ի N 1395-Ն, Հայաստանի Հանրապետության կառավարության 2015 թվականի ապրիլի 2-ի N 350-Ն որոշումներում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«____» _____________ 2021 թվականի N ____-Ն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958-Ն, 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1054-Ն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11-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1394-Ն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11-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1395-Ն</w:t>
      </w:r>
      <w:r>
        <w:rPr>
          <w:b w:val="1"/>
          <w:bCs w:val="1"/>
        </w:rPr>
        <w:t xml:space="preserve">, ՀԱՅԱՍՏԱՆԻ ՀԱՆՐԱՊԵՏՈՒԹՅԱՆ ԿԱՌԱՎԱՐՈՒԹՅԱՆ 2015 ԹՎԱԿԱՆԻ ԱՊՐԻԼԻ 2-Ի </w:t>
      </w:r>
      <w:r>
        <w:rPr>
          <w:b w:val="1"/>
          <w:bCs w:val="1"/>
        </w:rPr>
        <w:t xml:space="preserve">N 350-Ն</w:t>
      </w:r>
      <w:r>
        <w:rPr>
          <w:b w:val="1"/>
          <w:bCs w:val="1"/>
        </w:rPr>
        <w:t xml:space="preserve">  </w:t>
      </w:r>
      <w:r>
        <w:rPr>
          <w:b w:val="1"/>
          <w:bCs w:val="1"/>
        </w:rPr>
        <w:t xml:space="preserve">ՈՐՈՇՈՒՄՆԵՐՈՒՄ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հոդվածների պահանջները՝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Հայաստանի Հանրապետության կառավարության 2014 թվականի սեպտեմբերի 4-ի «</w:t>
      </w:r>
      <w:r>
        <w:rPr>
          <w:b w:val="1"/>
          <w:bCs w:val="1"/>
        </w:rPr>
        <w:t xml:space="preserve">Հայաստանի Հանրապետության քննչական կոմիտեի ծառայողների համազգեստի, տարբերանշանների նկարագիրը և դրանք կրելու կարգը սահմանելու մասին</w:t>
      </w:r>
      <w:r>
        <w:rPr/>
        <w:t xml:space="preserve">» N 958-Ն,  Հայաստանի Հանրապետության կառավարության 2014 թվականի սեպտեմբերի 25-ի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քննչական</w:t>
      </w:r>
      <w:r>
        <w:rPr/>
        <w:t xml:space="preserve"> </w:t>
      </w:r>
      <w:r>
        <w:rPr>
          <w:b w:val="1"/>
          <w:bCs w:val="1"/>
        </w:rPr>
        <w:t xml:space="preserve">կոմիտեի</w:t>
      </w:r>
      <w:r>
        <w:rPr/>
        <w:t xml:space="preserve"> </w:t>
      </w:r>
      <w:r>
        <w:rPr>
          <w:b w:val="1"/>
          <w:bCs w:val="1"/>
        </w:rPr>
        <w:t xml:space="preserve">ծառայողների</w:t>
      </w:r>
      <w:r>
        <w:rPr/>
        <w:t xml:space="preserve"> </w:t>
      </w: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ապահովագրության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ապահովագրական</w:t>
      </w:r>
      <w:r>
        <w:rPr/>
        <w:t xml:space="preserve"> </w:t>
      </w:r>
      <w:r>
        <w:rPr>
          <w:b w:val="1"/>
          <w:bCs w:val="1"/>
        </w:rPr>
        <w:t xml:space="preserve">գումարների</w:t>
      </w:r>
      <w:r>
        <w:rPr/>
        <w:t xml:space="preserve"> </w:t>
      </w:r>
      <w:r>
        <w:rPr>
          <w:b w:val="1"/>
          <w:bCs w:val="1"/>
        </w:rPr>
        <w:t xml:space="preserve">չափերը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հաշվարկման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վճարման</w:t>
      </w:r>
      <w:r>
        <w:rPr/>
        <w:t xml:space="preserve"> </w:t>
      </w:r>
      <w:r>
        <w:rPr>
          <w:b w:val="1"/>
          <w:bCs w:val="1"/>
        </w:rPr>
        <w:t xml:space="preserve">կարգն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պայմանները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N 1054-Ն, Հայաստանի Հանրապետության կառավարության 2014 թվականի դեկտեմբերի 11-ի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քննչական</w:t>
      </w:r>
      <w:r>
        <w:rPr/>
        <w:t xml:space="preserve"> </w:t>
      </w:r>
      <w:r>
        <w:rPr>
          <w:b w:val="1"/>
          <w:bCs w:val="1"/>
        </w:rPr>
        <w:t xml:space="preserve">կոմիտեի</w:t>
      </w:r>
      <w:r>
        <w:rPr/>
        <w:t xml:space="preserve"> </w:t>
      </w:r>
      <w:r>
        <w:rPr>
          <w:b w:val="1"/>
          <w:bCs w:val="1"/>
        </w:rPr>
        <w:t xml:space="preserve">ծառայողի</w:t>
      </w:r>
      <w:r>
        <w:rPr/>
        <w:t xml:space="preserve"> </w:t>
      </w:r>
      <w:r>
        <w:rPr>
          <w:b w:val="1"/>
          <w:bCs w:val="1"/>
        </w:rPr>
        <w:t xml:space="preserve">անձնական</w:t>
      </w:r>
      <w:r>
        <w:rPr/>
        <w:t xml:space="preserve"> </w:t>
      </w:r>
      <w:r>
        <w:rPr>
          <w:b w:val="1"/>
          <w:bCs w:val="1"/>
        </w:rPr>
        <w:t xml:space="preserve">պաշտպանության</w:t>
      </w:r>
      <w:r>
        <w:rPr/>
        <w:t xml:space="preserve"> </w:t>
      </w:r>
      <w:r>
        <w:rPr>
          <w:b w:val="1"/>
          <w:bCs w:val="1"/>
        </w:rPr>
        <w:t xml:space="preserve">հատուկ</w:t>
      </w:r>
      <w:r>
        <w:rPr/>
        <w:t xml:space="preserve"> </w:t>
      </w:r>
      <w:r>
        <w:rPr>
          <w:b w:val="1"/>
          <w:bCs w:val="1"/>
        </w:rPr>
        <w:t xml:space="preserve">միջոցների</w:t>
      </w:r>
      <w:r>
        <w:rPr/>
        <w:t xml:space="preserve"> </w:t>
      </w:r>
      <w:r>
        <w:rPr>
          <w:b w:val="1"/>
          <w:bCs w:val="1"/>
        </w:rPr>
        <w:t xml:space="preserve">ցանկը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նաև</w:t>
      </w:r>
      <w:r>
        <w:rPr/>
        <w:t xml:space="preserve"> </w:t>
      </w:r>
      <w:r>
        <w:rPr>
          <w:b w:val="1"/>
          <w:bCs w:val="1"/>
        </w:rPr>
        <w:t xml:space="preserve">դրանք</w:t>
      </w:r>
      <w:r>
        <w:rPr/>
        <w:t xml:space="preserve"> </w:t>
      </w:r>
      <w:r>
        <w:rPr>
          <w:b w:val="1"/>
          <w:bCs w:val="1"/>
        </w:rPr>
        <w:t xml:space="preserve">սպառազինության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ընդգրկելու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սպառազինությունից</w:t>
      </w:r>
      <w:r>
        <w:rPr/>
        <w:t xml:space="preserve"> </w:t>
      </w:r>
      <w:r>
        <w:rPr>
          <w:b w:val="1"/>
          <w:bCs w:val="1"/>
        </w:rPr>
        <w:t xml:space="preserve">հանելու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ոչնչացնելու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/>
        <w:t xml:space="preserve">N 1394-Ն, Հայաստանի Հանրապետության կառավարության 2014 թվականի դեկտեմբերի 11-ի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քննչական</w:t>
      </w:r>
      <w:r>
        <w:rPr/>
        <w:t xml:space="preserve"> </w:t>
      </w:r>
      <w:r>
        <w:rPr>
          <w:b w:val="1"/>
          <w:bCs w:val="1"/>
        </w:rPr>
        <w:t xml:space="preserve">կոմիտեի</w:t>
      </w:r>
      <w:r>
        <w:rPr/>
        <w:t xml:space="preserve"> </w:t>
      </w:r>
      <w:r>
        <w:rPr>
          <w:b w:val="1"/>
          <w:bCs w:val="1"/>
        </w:rPr>
        <w:t xml:space="preserve">ծառայողին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վայր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նշանակմամբ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գործուղելիս</w:t>
      </w:r>
      <w:r>
        <w:rPr/>
        <w:t xml:space="preserve"> </w:t>
      </w:r>
      <w:r>
        <w:rPr>
          <w:b w:val="1"/>
          <w:bCs w:val="1"/>
        </w:rPr>
        <w:t xml:space="preserve">բնակելի</w:t>
      </w:r>
      <w:r>
        <w:rPr/>
        <w:t xml:space="preserve"> </w:t>
      </w:r>
      <w:r>
        <w:rPr>
          <w:b w:val="1"/>
          <w:bCs w:val="1"/>
        </w:rPr>
        <w:t xml:space="preserve">տարածությամբ</w:t>
      </w:r>
      <w:r>
        <w:rPr/>
        <w:t xml:space="preserve"> </w:t>
      </w:r>
      <w:r>
        <w:rPr>
          <w:b w:val="1"/>
          <w:bCs w:val="1"/>
        </w:rPr>
        <w:t xml:space="preserve">ապահովելու</w:t>
      </w:r>
      <w:r>
        <w:rPr/>
        <w:t xml:space="preserve"> </w:t>
      </w:r>
      <w:r>
        <w:rPr>
          <w:b w:val="1"/>
          <w:bCs w:val="1"/>
        </w:rPr>
        <w:t xml:space="preserve">անհնարինության</w:t>
      </w:r>
      <w:r>
        <w:rPr/>
        <w:t xml:space="preserve"> </w:t>
      </w:r>
      <w:r>
        <w:rPr>
          <w:b w:val="1"/>
          <w:bCs w:val="1"/>
        </w:rPr>
        <w:t xml:space="preserve">դեպքում</w:t>
      </w:r>
      <w:r>
        <w:rPr/>
        <w:t xml:space="preserve"> </w:t>
      </w:r>
      <w:r>
        <w:rPr>
          <w:b w:val="1"/>
          <w:bCs w:val="1"/>
        </w:rPr>
        <w:t xml:space="preserve">դրամական</w:t>
      </w:r>
      <w:r>
        <w:rPr/>
        <w:t xml:space="preserve"> </w:t>
      </w:r>
      <w:r>
        <w:rPr>
          <w:b w:val="1"/>
          <w:bCs w:val="1"/>
        </w:rPr>
        <w:t xml:space="preserve">փոխհատուցում</w:t>
      </w:r>
      <w:r>
        <w:rPr/>
        <w:t xml:space="preserve"> </w:t>
      </w:r>
      <w:r>
        <w:rPr>
          <w:b w:val="1"/>
          <w:bCs w:val="1"/>
        </w:rPr>
        <w:t xml:space="preserve">տալու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չափը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/>
        <w:t xml:space="preserve">N 1395-Ն, Հայաստանի Հանրապետության կառավարության 2015 թվականի ապրիլի 2-ի «</w:t>
      </w:r>
      <w:r>
        <w:rPr>
          <w:b w:val="1"/>
          <w:bCs w:val="1"/>
        </w:rPr>
        <w:t xml:space="preserve">Հատուկ քննչական ծառայության, Հայաստանի Հանրապետության քննչական կոմիտեի ծառայողի պաշտոնում նշանակմանը խոչընդոտող ֆիզիկական արատների և հիվանդությունների ցանկը, հատուկ քննչական ծառայության, Հայաստանի Հանրապետության քննչական կոմիտեի ծառայողի պաշտոնում նշանակմանը խոչընդոտող ֆիզիկական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արատների և հիվանդությունների առկայության կամ բացակայության մասին տեղեկանքների ձևերը սահմանելու և Հայաստանի Հանրապետության կառավարության 2008 թվականի փետրվարի 13-ի N 143-Ն որոշումն ուժը կորցրած ճանաչելու մասին» </w:t>
      </w:r>
      <w:r>
        <w:rPr/>
        <w:t xml:space="preserve">N 350-Ն որոշումների վերնագրերում, որոշումների և դրանց հավելվածների ամբողջ տեքստում «քննչական կոմիտեի ծառայող» կամ «քննչական կոմիտեի ծառայողներ» բառերը և դրանց հոլովաձևերը փոխարինել «քննչական կոմիտեում ինքնավար պաշտոն զբաղեցնող անձ» կամ «քննչական կոմիտեում ինքնավար պաշտոն զբաղեցնող անձինք» բառերով և դրանց հոլովաձևերով: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</w:t>
            </w:r>
            <w:r>
              <w:rPr>
                <w:b w:val="1"/>
                <w:bCs w:val="1"/>
              </w:rPr>
              <w:t xml:space="preserve">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...................... .......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                   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8AECB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2026-04-01T21:12:52+04:00</dcterms:created>
  <dcterms:modified xsi:type="dcterms:W3CDTF">2026-04-01T21:12:52+04:00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