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ՀԱՐԿԱՅԻՆ ՕՐԵՆՍԳՐՔՈՒՄ ՓՈՓՈԽՈՒԹՅՈՒՆՆԵՐ ԵՎ ԼՐԱՑՈՒՄՆԵՐ ԿԱՏԱՐԵԼՈՒ ՄԱՍԻՆ</w:t>
      </w:r>
      <w:bookmarkEnd w:id="0"/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ՀԱՅԱՍՏԱՆԻ ՀԱՆՐԱՊԵՏՈՒԹՅԱՆ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ՕՐԵՆՔԸ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                            ՀԱՅԱՍՏԱՆԻ ՀԱՆՐԱՊԵՏՈՒԹՅԱՆ ՀԱՐԿԱՅԻՆ ՕՐԵՆՍԳՐՔՈՒՄ ՓՈՓՈԽՈՒԹՅՈՒՆՆԵՐ ԵՎ ԼՐԱՑՈՒՄՆԵՐ ԿԱՏԱՐԵԼՈՒ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․</w:t>
      </w:r>
      <w:r>
        <w:rPr/>
        <w:t xml:space="preserve"> Հայաստանի Հանրապետության 2016 թվա­կանի հոկ­­տեմբերի 4-ի հար­կա­­յին օրենս­գրքի (այսուհետ՝ Օրենսգիրք) 2-րդ հոդվածի 5-րդ մասից հանել «կամ Օրենսգրքով սահ­ման­ված վճարի» բառերը։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Օրենսգրքի 197-րդ հոդվածի 2-րդ մասից հանել «, ինչպես նաև մետաղական օգտա­կար հանածոների և դրանց կամ ընդերքօգտագործման թափոնների վերամշակման արդ­յուն­քում ստացված արտադրանքի օտարումից ստացվող շահութաբերության համար» բառերը։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․</w:t>
      </w:r>
      <w:r>
        <w:rPr/>
        <w:t xml:space="preserve">Օրենսգրքի 202-րդ հոդվածի 1-ին մասը շարադրել նոր խմբագրությամբ հետևյալ բովանդակությամբ.</w:t>
      </w:r>
    </w:p>
    <w:p>
      <w:pPr/>
      <w:r>
        <w:rPr/>
        <w:t xml:space="preserve"> </w:t>
      </w:r>
    </w:p>
    <w:p>
      <w:pPr/>
      <w:r>
        <w:rPr/>
        <w:t xml:space="preserve">«1. Ռոյալթիի բազա է համարվում հաշվետու ժամանակաշրջանում մատակարարված խտանյութի, խտանյութի փոխարեն կամ առանց խտանյութի ստացման ձուլվածքի կամ ընդերքօգտագործման թափոնների, հանքաքարի, խտանյութի, ձուլվածքի վերամշակման արդյունքում ստացված ցանկացած վերջնական արտադրանքում (այսուհետ` սույն բաժնում խտանյութի հետ միասին` արտադրանք) առկա վճարվող յուրաքանչյուր մետացի իրացման շրջանառությունը:»։</w:t>
      </w:r>
    </w:p>
    <w:p>
      <w:pPr/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․</w:t>
      </w:r>
      <w:r>
        <w:rPr/>
        <w:t xml:space="preserve"> Օրենսգրքի 209-րդ հոդվածը շարադրել նոր խմբագրությամբ՝ հետևյալ բովան­դա­կությամբ․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209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Ռոյալթիի</w:t>
      </w:r>
      <w:r>
        <w:rPr/>
        <w:t xml:space="preserve"> </w:t>
      </w:r>
      <w:r>
        <w:rPr>
          <w:b w:val="1"/>
          <w:bCs w:val="1"/>
        </w:rPr>
        <w:t xml:space="preserve">դրույքաչափը</w:t>
      </w:r>
      <w:r>
        <w:rPr/>
        <w:t xml:space="preserve">։</w:t>
      </w:r>
    </w:p>
    <w:p>
      <w:pPr>
        <w:numPr>
          <w:ilvl w:val="0"/>
          <w:numId w:val="2"/>
        </w:numPr>
      </w:pPr>
      <w:r>
        <w:rPr/>
        <w:t xml:space="preserve">Ռոյալթիի համար սահմանվում է ռոյալթիի բազայի նկատմամբ հետևյալ դրույքաչափերը.</w:t>
      </w:r>
    </w:p>
    <w:p>
      <w:pPr/>
      <w:r>
        <w:rPr/>
        <w:t xml:space="preserve"> </w:t>
      </w:r>
    </w:p>
    <w:tbl>
      <w:tblGrid>
        <w:gridCol w:w="3525" w:type="dxa"/>
        <w:gridCol w:w="3600" w:type="dxa"/>
        <w:gridCol w:w="2430" w:type="dxa"/>
      </w:tblGrid>
      <w:tblPr>
        <w:tblW w:w="0" w:type="auto"/>
        <w:tblLayout w:type="autofit"/>
      </w:tblPr>
      <w:tr>
        <w:trPr/>
        <w:tc>
          <w:tcPr>
            <w:tcW w:w="3525" w:type="dxa"/>
            <w:noWrap/>
          </w:tcPr>
          <w:p>
            <w:pPr/>
            <w:r>
              <w:rPr/>
              <w:t xml:space="preserve">Մետաղի տեսակը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Միջազգային գինը (ԱՄՆ դոլար)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Դրույքաչափը</w:t>
            </w:r>
          </w:p>
          <w:p>
            <w:pPr/>
            <w:r>
              <w:rPr/>
              <w:t xml:space="preserve">%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Պղինձ*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Մինչև 5500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5501-ից 6500-ը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6501-ից 7500-ը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13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7501-ից 8500-ը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19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8501-ից 9500-ը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24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9501 -ից 10500-ը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28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10501 -ից 15000-ը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39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15001 և ավելի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Մոլիբդեն*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Մինչև 10000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10001-ից 16000-ը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16001-ից 20000-ը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17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20001-ից 25000-ը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26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25001-ից 30000-ը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33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30001-ից 40000-ը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41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40001-ից 50000-ը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50001 և ավելի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48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Ոսկի**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Մինչև 1200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1201-ից 1400-ը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1401-ից 1700-ը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1701-ից 2000-ը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22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2001-ից 2300-ը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27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2301-ից 2600 -ը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31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2601 և ավելի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35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        *- միջազգային գինը ներկայացված է մեկ տոննայի համար</w:t>
      </w:r>
    </w:p>
    <w:p>
      <w:pPr/>
      <w:r>
        <w:rPr/>
        <w:t xml:space="preserve">**- միջազգային գինը ներկայացված է մեկ տրոյական ունցիայի համար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Բացի սույն հոդվածի առաջին մասով սահմանված մետաղներից այլ մետաղների ռոյալթիի հաշվարկման համար սահմանվում է ռոյալթիի բազայի նկատմամբ 6 տոկոս դրույքաչափ։</w:t>
      </w:r>
    </w:p>
    <w:p>
      <w:pPr>
        <w:numPr>
          <w:ilvl w:val="0"/>
          <w:numId w:val="3"/>
        </w:numPr>
      </w:pPr>
      <w:r>
        <w:rPr/>
        <w:t xml:space="preserve">Ռոյալթիի դրույքաչափի հաշվարկի համար մետաղի միջազգային գին համարվում է հաշվետու եռամսյակի միջին գինը։ Յուրաքանչյուր եռամսյակի համար մետաղի միջազգային գինը հրապարակվում է ֆինանսների բնագավառում լիազոր պետական մարմնի կողմից կառավարության սահմանած կարգով։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</w:t>
      </w:r>
      <w:r>
        <w:rPr>
          <w:b w:val="1"/>
          <w:bCs w:val="1"/>
        </w:rPr>
        <w:t xml:space="preserve">․</w:t>
      </w:r>
      <w:r>
        <w:rPr/>
        <w:t xml:space="preserve"> Օրենսգրքի 211-րդ հոդվածի՝</w:t>
      </w:r>
    </w:p>
    <w:p>
      <w:pPr>
        <w:numPr>
          <w:ilvl w:val="0"/>
          <w:numId w:val="4"/>
        </w:numPr>
      </w:pPr>
      <w:r>
        <w:rPr/>
        <w:t xml:space="preserve">1-ին մասում «Բնօգտագործման վճարի» բառերից հետո լրացնել «, այդ թվում՝ ռոյալթիի» բառերը․</w:t>
      </w:r>
    </w:p>
    <w:p>
      <w:pPr>
        <w:numPr>
          <w:ilvl w:val="0"/>
          <w:numId w:val="4"/>
        </w:numPr>
      </w:pPr>
      <w:r>
        <w:rPr/>
        <w:t xml:space="preserve">2-րդ մասը ուժը կորցրած ճանաչել։</w:t>
      </w:r>
    </w:p>
    <w:p>
      <w:pPr/>
      <w:r>
        <w:rPr>
          <w:b w:val="1"/>
          <w:bCs w:val="1"/>
        </w:rPr>
        <w:t xml:space="preserve">Հոդված 6</w:t>
      </w:r>
      <w:r>
        <w:rPr>
          <w:b w:val="1"/>
          <w:bCs w:val="1"/>
        </w:rPr>
        <w:t xml:space="preserve">․</w:t>
      </w:r>
      <w:r>
        <w:rPr/>
        <w:t xml:space="preserve"> Օրենսգրքի 221-րդ հոդվածի 1-ին մասում «Ռոյալթի վճարողները մինչև հաշ­վետու տարվան հաջորդող հարկային տարվա ապրիլի 20-ը ներառյալ» բառերը փոխարինել «Ռոյալթի վճարողները մինչև հաշվետու եռամսյակին հաջորդող ամսվա 20-ը ներառյալ» բառե­րով։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․</w:t>
      </w:r>
      <w:r>
        <w:rPr/>
        <w:t xml:space="preserve"> Օրենսգրքի 222-րդ հոդվածի՝</w:t>
      </w:r>
    </w:p>
    <w:p>
      <w:pPr>
        <w:numPr>
          <w:ilvl w:val="0"/>
          <w:numId w:val="5"/>
        </w:numPr>
      </w:pPr>
      <w:r>
        <w:rPr/>
        <w:t xml:space="preserve">2-րդ մասում «մինչև հաշվետու ժամանակա­շրջա­նին հաջորդող հարկային տարվա ապրիլի 20-ը ներառյալ» բառերը փոխարինել «մինչև հաշ­վետու եռամսյակին հաջորդող ամսվա 20-ը ներառյալ» բառերով․</w:t>
      </w:r>
    </w:p>
    <w:p>
      <w:pPr>
        <w:numPr>
          <w:ilvl w:val="0"/>
          <w:numId w:val="5"/>
        </w:numPr>
      </w:pPr>
      <w:r>
        <w:rPr/>
        <w:t xml:space="preserve">3-5-րդ մասերը ուժը կորցրած ճանաչել։</w:t>
      </w:r>
    </w:p>
    <w:p>
      <w:pPr/>
      <w:r>
        <w:rPr>
          <w:b w:val="1"/>
          <w:bCs w:val="1"/>
        </w:rPr>
        <w:t xml:space="preserve">Հոդված 8</w:t>
      </w:r>
      <w:r>
        <w:rPr>
          <w:b w:val="1"/>
          <w:bCs w:val="1"/>
        </w:rPr>
        <w:t xml:space="preserve">․</w:t>
      </w:r>
      <w:r>
        <w:rPr/>
        <w:t xml:space="preserve"> Օրենսգրքի 223-րդ հոդվածի 1-ին մասում «Բնօգտագործման վճարի» բառերից հետո լրացնել «, այդ թվում՝ ռոյալթիի» բառերը և «, այդ թվում` սույն բաժնով սահմանված կար­գով հաշվարկված` պետական բյուջե վճարման ենթակա ռոյալթիի գումարի և հարկային տարվա ընթաց­քում վճարված ռոյալթիի կանխավճարների հանրագումարի բացասական տարբերու­թյունը» բառերը հանել։</w:t>
      </w:r>
    </w:p>
    <w:p>
      <w:pPr/>
      <w:r>
        <w:rPr>
          <w:b w:val="1"/>
          <w:bCs w:val="1"/>
        </w:rPr>
        <w:t xml:space="preserve">Հոդված 9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Ուժի մեջ մտնելը և անցումային դրույթներ</w:t>
      </w:r>
    </w:p>
    <w:p>
      <w:pPr>
        <w:numPr>
          <w:ilvl w:val="0"/>
          <w:numId w:val="6"/>
        </w:numPr>
      </w:pPr>
      <w:r>
        <w:rPr/>
        <w:t xml:space="preserve">Սույն օրենքն ուժի մեջ է մտնում 2022 թվականի հունվարի 1-ից։</w:t>
      </w:r>
    </w:p>
    <w:p>
      <w:pPr>
        <w:numPr>
          <w:ilvl w:val="0"/>
          <w:numId w:val="6"/>
        </w:numPr>
      </w:pPr>
      <w:r>
        <w:rPr/>
        <w:t xml:space="preserve">Ռոյալթի վճա­րող­ները մինչև 2022 թվականի ապրիլի 20-ը ներառյալ՝</w:t>
      </w:r>
    </w:p>
    <w:p>
      <w:pPr/>
      <w:r>
        <w:rPr/>
        <w:t xml:space="preserve">       1) Օրենսգրքի 52-54-րդ հոդ­վածներով սահ­ման­ված կարգով կազմում և հարկային մարմին են ներկայացնում 2021 թվա­կանի ռոյալթիի հար­կա­յին հաշվարկը․</w:t>
      </w:r>
      <w:br/>
      <w:r>
        <w:rPr/>
        <w:t xml:space="preserve">       2) պետական բյուջե են վճար­ում Օրենսգրքի 213-րդ հոդվածի 2-րդ մասով սահմանված կար­գով 2021 թվականի համար հաշ­վարկ­ված` պետական բյուջե վճարման ենթակա ռոյալթիի գումար­ները: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278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19ADD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7D2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154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335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2026-04-03T20:35:46+04:00</dcterms:created>
  <dcterms:modified xsi:type="dcterms:W3CDTF">2026-04-03T20:35:46+04:00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