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ՀԱՆՐԱՊԵՏՈՒԹՅՈՒՆ ՆԵՐԿՐՎԱԾ ԿԱՄ ՀԱՅԱՍՏԱՆԻ ՀԱՆՐԱՊԵՏՈՒԹՅՈՒՆՈՒՄ ՇՐՋԱՆԱՌՈՒԹՅԱՆ ՄԵՋ ԴՐՎՈՂ ԵԶԱԿԻ ՏՐԱՆՍՊՈՐՏԱՅԻՆ ՄԻՋՈՑՆԵՐԻ ՀԱՄԱՊԱՏԱՍԽԱՆՈՒԹՅԱՆ ԳՆԱՀԱՏՄԱՆ ԿԱՆՈՆՆԵՐԸ ՀԱՍՏԱՏԵԼՈՒ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N -   Ն</w:t>
      </w:r>
    </w:p>
    <w:p>
      <w:pPr>
        <w:jc w:val="center"/>
      </w:pPr>
      <w:r>
        <w:rPr/>
        <w:t xml:space="preserve"> ՀԱՅԱՍՏԱՆԻ ՀԱՆՐԱՊԵՏՈՒԹՅՈՒՆ ՆԵՐԿՐՎԱԾ ԿԱՄ ՀԱՅԱՍՏԱՆԻ ՀԱՆՐԱՊԵՏՈՒԹՅՈՒՆՈՒՄ ՇՐՋԱՆԱՌՈՒԹՅԱՆ ՄԵՋ ԴՐՎՈՂ ԵԶԱԿԻ ՏՐԱՆՍՊՈՐՏԱՅԻՆ ՄԻՋՈՑՆԵՐԻ ՀԱՄԱՊԱՏԱՍԽԱՆՈՒԹՅԱՆ ԳՆԱՀԱՏՄԱՆ ԿԱՆՈՆՆԵՐԸ ՀԱՍՏԱՏԵԼՈՒ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Հայաստանի Հանրապետության Սահմանադրության 146-րդ հոդվածի 4-րդ մասը՝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Հաստատել Հայաստանի Հանրապետություն ներկրված կամ Հայաստանի Հանրապետությունում շրջանառության մեջ դրվող եզակի տրանսպորտային միջոցների համապատասխանության գնահատման կանոնները՝ համաձայն հավելվածի:</w:t>
      </w:r>
    </w:p>
    <w:p>
      <w:pPr>
        <w:numPr>
          <w:ilvl w:val="0"/>
          <w:numId w:val="2"/>
        </w:numPr>
      </w:pPr>
      <w:r>
        <w:rPr/>
        <w:t xml:space="preserve">Հաստատել, որ միայն Հայաստանի Հանրապետության տարածքում եզակի տրանսպորտային միջոցները շրջանառության մեջ են դրվում սույն որոշմամբ սահմանված պահանջներին համապատասխան՝ մինչև 2022 թվականի հունվարի 1-ը։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 </w:t>
      </w:r>
    </w:p>
    <w:p>
      <w:pPr>
        <w:jc w:val="end"/>
      </w:pPr>
      <w:r>
        <w:rPr>
          <w:b w:val="1"/>
          <w:bCs w:val="1"/>
        </w:rPr>
        <w:t xml:space="preserve">ՀՀ կառավարության 2021 թվականի</w:t>
      </w:r>
    </w:p>
    <w:p>
      <w:pPr>
        <w:jc w:val="end"/>
      </w:pPr>
      <w:r>
        <w:rPr>
          <w:b w:val="1"/>
          <w:bCs w:val="1"/>
        </w:rPr>
        <w:t xml:space="preserve">-ի N -Ն որոշման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/>
        <w:t xml:space="preserve">Կ Ա Ն Ո Ն Ն Ե Ր</w:t>
      </w:r>
    </w:p>
    <w:p>
      <w:pPr>
        <w:jc w:val="center"/>
      </w:pPr>
      <w:r>
        <w:rPr/>
        <w:t xml:space="preserve">ՀԱՅԱՍՏԱՆԻ ՀԱՆՐԱՊԵՏՈՒԹՅՈՒՆ ՆԵՐԿՐՎԱԾ ԿԱՄ ՀԱՅԱՍՏԱՆԻ ՀԱՆՐԱՊԵՏՈՒԹՅՈՒՆՈՒՄ ՇՐՋԱՆԱՌՈՒԹՅԱՆ ՄԵՋ ԴՐՎՈՂ ԵԶԱԿԻ ՏՐԱՆՍՊՈՐՏԱՅԻՆ ՄԻՋՈՑՆԵՐԻ ՀԱՄԱՊԱՏԱՍԽԱՆՈՒԹՅԱՆ ԳՆԱՀԱՏՄԱՆ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կանոնները տարածվում են Հայաստանի Հանրապետություն ներկրված կամ Հայաստանի Հանրապետությունում շրջանառության մեջ դրվող եզակի տրանսպորտային միջոցների նկատմամբ։</w:t>
      </w:r>
    </w:p>
    <w:p>
      <w:pPr>
        <w:numPr>
          <w:ilvl w:val="0"/>
          <w:numId w:val="3"/>
        </w:numPr>
      </w:pPr>
      <w:r>
        <w:rPr/>
        <w:t xml:space="preserve">Սույն որոշմամբ սահմանված եզակի տրանսպորտային միջոց հասկացությունը մեկնաբանվում է «Անվավոր տրանսպորտային միջոցների անվտանգության մասին» ՄՄ ՏԿ 018/2011 Մաքսային միության տեխնիկական կանոնակարգի և ԳՕՍՏ 33670-2015 միջպետական ստանդարտին համապատասխան։</w:t>
      </w:r>
    </w:p>
    <w:p>
      <w:pPr>
        <w:numPr>
          <w:ilvl w:val="0"/>
          <w:numId w:val="3"/>
        </w:numPr>
      </w:pPr>
      <w:r>
        <w:rPr/>
        <w:t xml:space="preserve">Սույն կանոններին համապատասխան ներկրված կամ եզակի արտադրված տրանսպորտային միջոցների համապատասխանության գնահատման ժամանակ տրամադրվող տրանսպորտային միջոցի կառուցվածքի անվտանգության մասին վկայականի համապատասխան դաշտում լրացվում է տրամադրման համար անհրաժեշտ արտակարգ օպերատիվ ծառայությունների կանչի սարքավորումով (համակարգով) համալրված լինելու բացակայության մասին տեղեկատվություն կամ սույն որոշման վավերապայմանները։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00A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F5B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2026-03-31T15:16:17+04:00</dcterms:created>
  <dcterms:modified xsi:type="dcterms:W3CDTF">2026-03-31T15:16:17+04:00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