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ՔԱՂԱՔԱՑԻԱԿԱՆ ԿԱՑՈՒԹՅԱՆ ԱԿՏԵՐԻ ԳՐԱՆՑՄԱՆ ՏԱՐԱԾՔԱՅԻՆ  ՄԱՐՄԻՆՆԵՐԻ ՄԱՍՆԱԳԻՏԱԿԱՆ ԳՈՐԾՈՒՆԵՈՒԹՅԱՆ ՀԱՄԱԿԱՐԳՄԱՆ,  ՎԵՐԱՀՍԿՄԱՆ ԵՎ ԱՅԼ ԳՈՐԾԱՌՈՒՅԹՆԵՐԻ ԻՐԱԿԱՆԱՑՄԱՆ  ԿԱՐԳԸ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2020 թվականի N-------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ՔԱՂԱՔԱՑԻԱԿԱՆ ԿԱՑՈՒԹՅԱՆ ԱԿՏԵՐԻ ԳՐԱՆՑՄԱՆ ՏԱՐԱԾՔԱՅԻՆ </w:t>
      </w:r>
    </w:p>
    <w:p>
      <w:pPr>
        <w:jc w:val="center"/>
      </w:pPr>
      <w:r>
        <w:rPr>
          <w:b w:val="1"/>
          <w:bCs w:val="1"/>
        </w:rPr>
        <w:t xml:space="preserve">ՄԱՐՄԻՆՆԵՐԻ ՄԱՍՆԱԳԻՏԱԿԱՆ ԳՈՐԾՈՒՆԵՈՒԹՅԱՆ ՀԱՄԱԿԱՐԳՄԱՆ, </w:t>
      </w:r>
    </w:p>
    <w:p>
      <w:pPr>
        <w:jc w:val="center"/>
      </w:pPr>
      <w:r>
        <w:rPr>
          <w:b w:val="1"/>
          <w:bCs w:val="1"/>
        </w:rPr>
        <w:t xml:space="preserve">ՎԵՐԱՀՍԿՄԱՆ ԵՎ ԱՅԼ ԳՈՐԾԱՌՈՒՅԹՆԵՐԻ ԻՐԱԿԱՆԱՑՄԱՆ </w:t>
      </w:r>
    </w:p>
    <w:p>
      <w:pPr>
        <w:jc w:val="center"/>
      </w:pPr>
      <w:r>
        <w:rPr>
          <w:b w:val="1"/>
          <w:bCs w:val="1"/>
        </w:rPr>
        <w:t xml:space="preserve">ԿԱՐԳԸ ՍԱՀՄԱՆԵԼՈՒ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«Քաղաքացիական կացության ակտերի մասին» ՀՀ օրենքի 4-րդ հոդվածի 2-րդ մասը՝ Հայաստանի Հանրապետության կառավարությունը որոշում է՝</w:t>
      </w:r>
    </w:p>
    <w:p>
      <w:pPr>
        <w:numPr>
          <w:ilvl w:val="0"/>
          <w:numId w:val="2"/>
        </w:numPr>
      </w:pPr>
      <w:r>
        <w:rPr/>
        <w:t xml:space="preserve">Հաստատել քաղաքացիական կացության ակտերի գրանցման տարածքային մարմինների մասնագիտական գործունեության համակարգման, դրանց վերահսկման կարգը`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-------Ն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>
          <w:b w:val="1"/>
          <w:bCs w:val="1"/>
        </w:rPr>
        <w:t xml:space="preserve">ՔԱՂԱՔԱՑԻԱԿԱՆ ԿԱՑՈՒԹՅԱՆ ԱԿՏԵՐԻ ԳՐԱՆՑՄԱՆ</w:t>
      </w:r>
      <w:r>
        <w:rPr/>
        <w:t xml:space="preserve"> </w:t>
      </w:r>
      <w:r>
        <w:rPr>
          <w:b w:val="1"/>
          <w:bCs w:val="1"/>
        </w:rPr>
        <w:t xml:space="preserve">ՏԱՐԱԾՔԱՅԻՆ</w:t>
      </w:r>
      <w:r>
        <w:rPr/>
        <w:t xml:space="preserve"> </w:t>
      </w:r>
      <w:r>
        <w:rPr>
          <w:b w:val="1"/>
          <w:bCs w:val="1"/>
        </w:rPr>
        <w:t xml:space="preserve">ՄԱՐՄԻՆՆԵՐԻ</w:t>
      </w:r>
      <w:r>
        <w:rPr/>
        <w:t xml:space="preserve"> </w:t>
      </w:r>
      <w:r>
        <w:rPr>
          <w:b w:val="1"/>
          <w:bCs w:val="1"/>
        </w:rPr>
        <w:t xml:space="preserve">ՄԱՍՆԱԳԻՏԱԿԱՆ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</w:p>
    <w:p>
      <w:pPr>
        <w:jc w:val="center"/>
      </w:pPr>
      <w:r>
        <w:rPr>
          <w:b w:val="1"/>
          <w:bCs w:val="1"/>
        </w:rPr>
        <w:t xml:space="preserve">ՀԱՄԱԿԱՐԳՄԱՆ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ՎԵՐԱՀՍԿՄԱՆ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ՔԱՂԱՔԱՑԻԱԿԱՆ ԿԱՑՈՒԹՅԱՆ ԱԿՏԵՐԻ ԳՐԱՆՑՄԱՆ </w:t>
      </w:r>
      <w:r>
        <w:rPr>
          <w:b w:val="1"/>
          <w:bCs w:val="1"/>
        </w:rPr>
        <w:t xml:space="preserve">ՏԱՐԱԾՔԱՅԻՆ</w:t>
      </w:r>
      <w:r>
        <w:rPr/>
        <w:t xml:space="preserve"> </w:t>
      </w:r>
      <w:r>
        <w:rPr>
          <w:b w:val="1"/>
          <w:bCs w:val="1"/>
        </w:rPr>
        <w:t xml:space="preserve">ՄԱՐՄԻՆՆԵՐԻ</w:t>
      </w:r>
      <w:r>
        <w:rPr/>
        <w:t xml:space="preserve"> </w:t>
      </w:r>
      <w:r>
        <w:rPr>
          <w:b w:val="1"/>
          <w:bCs w:val="1"/>
        </w:rPr>
        <w:t xml:space="preserve">ՄԱՍՆԱԳԻՏԱԿԱՆ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ՀԱՄԱԿԱՐԳՈՒՄԸ</w:t>
      </w:r>
    </w:p>
    <w:p>
      <w:pPr/>
      <w:r>
        <w:rPr/>
        <w:t xml:space="preserve">1.1. Քաղաքացիական կացության ակտերի գրանցման տարածքային մարմինների (այսուհետ՝ Տարածքային մարմին) մասնագիտական գործունեության համակարգումը իրականացնում է ՀՀ արդարադատության նախարարությունը (այսուհետ՝ Լիազոր մարմին)` «Քաղաքացիական կացության ակտերի մասին» ՀՀ օրենքով (այսուհետ՝ Օրենք), «Վարչարարության հիմունքների և վարչական վարույթի մասին» ՀՀ օրենքով, այլ օրենքներով, ինչպես նաև սույն կարգով սահմանված դեպքերում և ժամկետներում:</w:t>
      </w:r>
    </w:p>
    <w:p>
      <w:pPr/>
      <w:r>
        <w:rPr/>
        <w:t xml:space="preserve">1.2. Լիազոր մարմինը`</w:t>
      </w:r>
    </w:p>
    <w:p>
      <w:pPr>
        <w:numPr>
          <w:ilvl w:val="0"/>
          <w:numId w:val="4"/>
        </w:numPr>
      </w:pPr>
      <w:r>
        <w:rPr/>
        <w:t xml:space="preserve">մշակում և իրականացնում է քաղաքացիական կացության ակտերի գրանցման միասնական քաղաքականությունը.</w:t>
      </w:r>
    </w:p>
    <w:p>
      <w:pPr>
        <w:numPr>
          <w:ilvl w:val="0"/>
          <w:numId w:val="4"/>
        </w:numPr>
      </w:pPr>
      <w:r>
        <w:rPr/>
        <w:t xml:space="preserve">մեթոդական ղեկավարում է իրականացնում Տարածքային մարմինների գործունեության նկատմամբ.</w:t>
      </w:r>
    </w:p>
    <w:p>
      <w:pPr>
        <w:numPr>
          <w:ilvl w:val="0"/>
          <w:numId w:val="4"/>
        </w:numPr>
      </w:pPr>
      <w:r>
        <w:rPr/>
        <w:t xml:space="preserve">հաստատում է միասնական էլեկտրոնային գրանցամատյանի տեղեկություններից օգտվելու կարգը.</w:t>
      </w:r>
    </w:p>
    <w:p>
      <w:pPr>
        <w:numPr>
          <w:ilvl w:val="0"/>
          <w:numId w:val="4"/>
        </w:numPr>
      </w:pPr>
      <w:r>
        <w:rPr/>
        <w:t xml:space="preserve">հաստատում է քաղաքացիական կացության ակտերի պետական հաշվառման համար օգտագործվող նմուշային փաստաթղթերի ձևերը.</w:t>
      </w:r>
    </w:p>
    <w:p>
      <w:pPr>
        <w:numPr>
          <w:ilvl w:val="0"/>
          <w:numId w:val="4"/>
        </w:numPr>
      </w:pPr>
      <w:r>
        <w:rPr/>
        <w:t xml:space="preserve">սահմանում է քաղաքացիական կացության ակտային գրանցումների փաստաթղային արխիվի վարման և պահպանության կարգը.</w:t>
      </w:r>
    </w:p>
    <w:p>
      <w:pPr>
        <w:numPr>
          <w:ilvl w:val="0"/>
          <w:numId w:val="4"/>
        </w:numPr>
      </w:pPr>
      <w:r>
        <w:rPr/>
        <w:t xml:space="preserve">հաստատում է Տարածքային մարմիններից ներկայացվող տարեկան հաշվետվությունների ձևերը և դրանց ներկայացնելու կարգը.</w:t>
      </w:r>
    </w:p>
    <w:p>
      <w:pPr>
        <w:numPr>
          <w:ilvl w:val="0"/>
          <w:numId w:val="4"/>
        </w:numPr>
      </w:pPr>
      <w:r>
        <w:rPr/>
        <w:t xml:space="preserve">իրականացնում է քաղաքացիական կացության ակտերի գրանցման գործակալության (այսուհետ՝ Գործակալություն) և Տարածքային մարմինների կողմից կատարվող գործառույթների օրինականության պահպանման վերաբերյալ հսկողություն.</w:t>
      </w:r>
    </w:p>
    <w:p>
      <w:pPr>
        <w:numPr>
          <w:ilvl w:val="0"/>
          <w:numId w:val="4"/>
        </w:numPr>
      </w:pPr>
      <w:r>
        <w:rPr/>
        <w:t xml:space="preserve">ուսումնասիրում է Գործակալության և Տարածքային մարմինների աշխատողների գործունեության դեմ ուղղված բողոքները.</w:t>
      </w:r>
    </w:p>
    <w:p>
      <w:pPr>
        <w:numPr>
          <w:ilvl w:val="0"/>
          <w:numId w:val="4"/>
        </w:numPr>
      </w:pPr>
      <w:r>
        <w:rPr/>
        <w:t xml:space="preserve">առաջարկություններ է ներկայացնում տեղական ինքնակառավարման և իրավասու այլ մարմինների` Տարածքային մարմինների աշխատողներին խրախուսելու կամ կարգապահական տույժի ենթարկելու վերաբերյալ.</w:t>
      </w:r>
    </w:p>
    <w:p>
      <w:pPr>
        <w:numPr>
          <w:ilvl w:val="0"/>
          <w:numId w:val="4"/>
        </w:numPr>
      </w:pPr>
      <w:r>
        <w:rPr/>
        <w:t xml:space="preserve">վարում է վիճակագրություն և եռամսյակային պարբերականությամբ հրապարակում է տեղեկություններ քաղաքացիական կացության ակտային գրանցումների վերաբերյալ.</w:t>
      </w:r>
    </w:p>
    <w:p>
      <w:pPr>
        <w:numPr>
          <w:ilvl w:val="0"/>
          <w:numId w:val="4"/>
        </w:numPr>
      </w:pPr>
      <w:r>
        <w:rPr/>
        <w:t xml:space="preserve">իրականացնում է օրենքով սահմանված այլ լիազորություններ:</w:t>
      </w:r>
    </w:p>
    <w:p>
      <w:pPr/>
      <w:r>
        <w:rPr/>
        <w:t xml:space="preserve">1.3. Գործակալությունը`</w:t>
      </w:r>
    </w:p>
    <w:p>
      <w:pPr/>
      <w:r>
        <w:rPr/>
        <w:t xml:space="preserve">1) կազմակերպում և իրականացնում է քաղաքացիական կացության ակտերի պետական գրանցման գործընթացները.</w:t>
      </w:r>
    </w:p>
    <w:p>
      <w:pPr/>
      <w:r>
        <w:rPr/>
        <w:t xml:space="preserve">2) ապահովում է միասնական էլեկտրոնային գրանցամատյանի վարումը.</w:t>
      </w:r>
    </w:p>
    <w:p>
      <w:pPr/>
      <w:r>
        <w:rPr/>
        <w:t xml:space="preserve">3) սահմանված կարգով տրամադրում է տեղեկություններ միասնական էլեկտրոնային գրանցամատյանից.</w:t>
      </w:r>
    </w:p>
    <w:p>
      <w:pPr/>
      <w:r>
        <w:rPr/>
        <w:t xml:space="preserve">4) ապահովում է քաղաքացիական կացության ակտային գրանցումների թղթային արխիվի վարումը և պահպանումը.</w:t>
      </w:r>
    </w:p>
    <w:p>
      <w:pPr/>
      <w:r>
        <w:rPr/>
        <w:t xml:space="preserve">5) վարում է վիճակագրություն և եռամսյակային պարբերականությամբ հրապարակում է տեղեկություններ քաղաքացիական կացության ակտային գրանցումների թվաքանակի վերաբերյալ.</w:t>
      </w:r>
    </w:p>
    <w:p>
      <w:pPr/>
      <w:r>
        <w:rPr/>
        <w:t xml:space="preserve">6) իրականացնում է Տարածքային մարմինների գործունեության մեթոդական ղեկավարումը.</w:t>
      </w:r>
    </w:p>
    <w:p>
      <w:pPr/>
      <w:r>
        <w:rPr/>
        <w:t xml:space="preserve">7) իրականացնում է Տարածքային մարմինների կողմից կատարվող գործառույթների՝ օրենքին համապատասխանության ուսումնասիրությունը.</w:t>
      </w:r>
    </w:p>
    <w:p>
      <w:pPr/>
      <w:r>
        <w:rPr/>
        <w:t xml:space="preserve">8) ապահովում է միասնական կառավարման համակարգի արդիականացումը և անխափան գործածումը.</w:t>
      </w:r>
    </w:p>
    <w:p>
      <w:pPr/>
      <w:r>
        <w:rPr/>
        <w:t xml:space="preserve">11) իրականացնում է օրենքով սահմանված այլ լիազորություններ: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ՔԱՂԱՔԱՑԻԱԿԱՆ ԿԱՑՈՒԹՅԱՆ ԱԿՏԵՐԻ ԳՐԱՆՑՄԱՆ</w:t>
      </w:r>
      <w:r>
        <w:rPr/>
        <w:t xml:space="preserve"> </w:t>
      </w:r>
      <w:r>
        <w:rPr>
          <w:b w:val="1"/>
          <w:bCs w:val="1"/>
        </w:rPr>
        <w:t xml:space="preserve">ՏԱՐԱԾՔԱՅԻՆ ՄԱՐՄԻՆՆԵՐԻ ՄԱՍՆԱԳԻՏԱԿԱՆ ԳՈՐԾՈՒՆԵՈՒԹՅԱՆ ՎԵՐԱՀՍԿՈՒՄԸ</w:t>
      </w:r>
    </w:p>
    <w:p>
      <w:pPr/>
      <w:r>
        <w:rPr>
          <w:b w:val="1"/>
          <w:bCs w:val="1"/>
        </w:rPr>
        <w:t xml:space="preserve">          </w:t>
      </w:r>
      <w:r>
        <w:rPr/>
        <w:t xml:space="preserve">2.1. Տարածքային մարմինների մասնագիտական գործունեության վերահսկողությունը օրենքի պահանջների կատարման նկատմամբ իրականացնում է Լիազոր մարմինը՝ Օրենքով, «Վարչարարության հիմունքների և վարչական վարույթի մասին» ՀՀ օրենքով, այլ օրենքներով, ինչպես նաև սույն կարգով սահմանված դեպքերում և ժամկետներում:</w:t>
      </w:r>
    </w:p>
    <w:p>
      <w:pPr/>
      <w:r>
        <w:rPr/>
        <w:t xml:space="preserve">2.2. Լիազոր մարմնի կողմից վերահսկողությունն իրականացվում է.</w:t>
      </w:r>
    </w:p>
    <w:p>
      <w:pPr/>
      <w:r>
        <w:rPr/>
        <w:t xml:space="preserve">2.2.1 Տարածքային մարմինների և Գործակալության գործողությունների (անգործության) դեմ բերված բողոքների ուսումնասիրության արդյունքում վարչական վարույթների հարուցման, վարչարարության իրականացման հետևանքով խախտումների հայտնաբերման պարագայում տեղական ինքնակառավարման և այլ իրավասու մարմիններին՝ Տարածքային մարմնի ղեկավարներին և աշխատակիցներին կարգապահական տույժի ենթարկելու համար առաջարկություն ներկայացնելու միջոցով: Ընդ որում, վերահսկողությունը կարող է իրականացվել ոչ միայն բողոքի հիմքով, այլ նաև Լիազոր մարմնի նախաձեռնությամբ վարչական վարույթներ հարուցելով: Բողոքների հիման վրա, ինչպես նաև Լիազոր մարմնի նախաձեռնությամբ հարուցված վարչական վարույթները իրականացվում են «Վարչարարության հիմունքների և վարչական վարույթի մասին» ՀՀ օրենքով սահմանված կարգով.</w:t>
      </w:r>
    </w:p>
    <w:p>
      <w:pPr/>
      <w:r>
        <w:rPr/>
        <w:t xml:space="preserve">2.2.2. Տարածքային մարմինների և Գործակալության ընթացիկ գործունեության օրինականության վերահսկողության շրջանակներում Լիազոր մարմնի կողմից պարբերաբար իրականացվում են մշտադիտարկումներ՝ ստացված տեղեկությունների, դիմումների, առաջարկությունների ուսումնասիրության, վերլուծության և ամփոփման, ինչպես նաև էլեկտրոնային համակարգերից ձեռք բերված և Տարածքային մարմինների և Գործակալության գործունեության արդյունքների վերաբերյալ ստացված տեղեկատվության վերլուծության միջոցով:</w:t>
      </w:r>
    </w:p>
    <w:p>
      <w:pPr/>
      <w:r>
        <w:rPr/>
        <w:t xml:space="preserve">2.3. Տարածքային մարմինների գործունեության ուսումնասիրությունն իրականացվում է ինչպես ուսումնասիրողի տարեկան պլանային ծրագրում ներառված և Լիազոր մարմնի ղեկավարի հրամանով հաստատված, այնպես էլ չպլանավորված՝ նպատակային ուսումնասիրություններ իրականացնելու միջոցով:</w:t>
      </w:r>
    </w:p>
    <w:p>
      <w:pPr/>
      <w:r>
        <w:rPr/>
        <w:t xml:space="preserve">2.3.1. Պլանային ուսումնասիրությունները միտված են նախորդ տարվա ընթացքում Տարածքային մարմինների գործողությունների թերացումները վեր հանելու, հնարավոր իրավախախտումները հայտնաբերելու և Տարածքային մարմինների գործունեության օրինականությունն ապահովելու: Պլանային ուսումնասիրությունների միջոցով Լիազոր մարմինը նպաստում է Տարածքային մարմիններում բարեփոխումների իրականացմանը և սպասարկման որակի բարելավմանը:</w:t>
      </w:r>
    </w:p>
    <w:p>
      <w:pPr/>
      <w:r>
        <w:rPr/>
        <w:t xml:space="preserve">2.3.2. Նպատակային ուսումնասիրություններ իրականացվում են որոշակի հիմքերի առկայության դեպքում: Տարածքային մարմինների կողմից որոշակի գործողությունների իրականացման արդյունքում հնարավոր է խախտվեն ֆիզիկական և իրավաբանական անձանց իրավունքները, որպիսի պարագայում վերջիններս իրավունք ունեն օրենքով նախատեսված կարգով այդ մասին հայտնելու Լիազոր մարմնին: Լիազոր մարմինը, հիմք ընդունելով ֆիզիկական և իրավաբանական անձանց հաղորդումները, իրականացնում է նպատակային ուսումնասիրություն: Նպատակային ուսումնասիրությունն իրականացվում է Լիազոր մարմնի հրամանի կամ հանձնարարագրի հիման վրա:</w:t>
      </w:r>
    </w:p>
    <w:p>
      <w:pPr/>
      <w:r>
        <w:rPr/>
        <w:t xml:space="preserve">2.3.3. Պլանային ուսումնասիրության ենթակա ժամանակահատվածը, Տարածքային մարմնի կողմից կատարված գործերի քանակը, ուսումնասիրություն կատարելու ժամկետները սահմանվում են ուսումնասիրություն կատարելու մասին Լիազոր մարմնի ղեկավարի հրամանով:</w:t>
      </w:r>
    </w:p>
    <w:p>
      <w:pPr/>
      <w:r>
        <w:rPr/>
        <w:t xml:space="preserve">2.3.4. Լիազոր մարմնի համապատասխան վերահսկողություն իրականացնող անձինք իրենց լիազորությունների շրջանակներում պլանային և նպատակային ուսումնասիրություններ իրականացնելիս իրավասու են աշխատանքային ժամերին անարգել մուտք գործել համապատասխան ստորաբաժանումներ:</w:t>
      </w:r>
    </w:p>
    <w:p>
      <w:pPr/>
      <w:r>
        <w:rPr/>
        <w:t xml:space="preserve">2.3.5. Ուսումնասիրությունը կարող է կատարվել ինչպես արտագնա, երբ պարտադիր է այցելել համապատասխան ստորաբաժանում, որպեսզի անմիջականորեն ուսումնասիրվեն առկա տվյալներն ու տեղեկությունները, այնպես էլ տեղում՝ ուսումնասիրությանը վերաբերող նյութեր, փաստաթղթեր պահանջելու, ինչպես նաև էլեկտրոնային համակարգերում ուսումնասիրություն իրականացնելու միջոցով:</w:t>
      </w:r>
    </w:p>
    <w:p>
      <w:pPr/>
      <w:r>
        <w:rPr/>
        <w:t xml:space="preserve">2.3.6. Ուսումնասիրության ընթացքում ուսումնասիրություն իրականացնողն իրավունք ունի գրավոր բացատրություններ և ուսումնասիրությանը վերաբերող նյութեր պահանջելու, որոնք ենթակա են տրամադրման ուսումնասիրվող Տարածքային մարմնի կողմից: Ուսումնասիրություն իրականացնողը ուսումնասիրություն իրականացնելու մասին հրամանում նշված նպատակի շրջանակներից դուրս գալու իրավունք չունի։</w:t>
      </w:r>
    </w:p>
    <w:p>
      <w:pPr/>
      <w:r>
        <w:rPr/>
        <w:t xml:space="preserve">2.3.7. Ուսումնասիրության ընթացքում նոր հանգամանքներ և անհրաժեշտություն առաջանալու դեպքում ուսումնասիրության նպատակներն ու շրջանակները կարող են փոփոխվել Լիազոր մարմնի ղեկավարի հրամանով` ուսումնասիրություն իրականացնողի գրավոր հիմնավորմամբ։ Ուսումնասիրության շրջանակների փոփոխման մասին գրավոր տեղեկացվում է Տարածքային մարմինը՝ վերջինիս տրամադրելով նոր հրամանի պատճենը։</w:t>
      </w:r>
    </w:p>
    <w:p>
      <w:pPr/>
      <w:r>
        <w:rPr/>
        <w:t xml:space="preserve">2.3.8. Ուսումնասիրության արդյունքում Լիազոր մարմնի ղեկավարի հրամանով սահմանված ուսումնասիրություն իրականացնողը խախտումների հայտնաբերման դեպքում կազմում է եզրակացություն, իսկ դրանց բացակայության դեպքում՝ տեղեկանք: Երկու դեպքում էլ կազմված փաստաթղթերի պատճենները տրամադրվում են Տարածքային մարմնին՝ դիրքորոշում և առարկություններ ներկայացնելու համար, ինչը կցվում է եզրակացությանը կամ տեղեկանքին: Առարկությունների մեջ Տարածքային մարմինը պարտավոր է նշել իր փաստարկները՝ եզրակացության մեջ տեղ գտած փաստերի և ապացույցների գնահատականի վերաբերյալ: Գրավոր առարկություններ չներկայացնելը կարող է որակվել որպես Տարածքային մարմնի կողմից եզրակացության ընդունում:</w:t>
      </w:r>
    </w:p>
    <w:p>
      <w:pPr/>
      <w:r>
        <w:rPr/>
        <w:t xml:space="preserve">2.3.9. Ուսումնասիրության ենթարկված Տարածքային մարմնում հաջորդ ծրագրային (պլանային) ուսումնասիրությունը կարող է իրականացվել ոչ շուտ, քան դրան հաջորդող երկրորդ տարում:</w:t>
      </w:r>
    </w:p>
    <w:p>
      <w:pPr/>
      <w:r>
        <w:rPr/>
        <w:t xml:space="preserve">2.4. Ուսումնասիրության ենթակա Տարածքային մարմնի ղեկավարն իրավունք ունի`</w:t>
      </w:r>
    </w:p>
    <w:p>
      <w:pPr/>
      <w:r>
        <w:rPr/>
        <w:t xml:space="preserve">1) արգելելու ուսումնասիրությունը, եթե ուսումնասիրություն իրականացնողը դուրս է եկել ուսումնասիրություն իրականացնելու մասին հրամանում նշված նպատակի շրջանակներից,</w:t>
      </w:r>
    </w:p>
    <w:p>
      <w:pPr/>
      <w:r>
        <w:rPr/>
        <w:t xml:space="preserve">2) ծանոթանալու եզրակացությանը կամ տեղեկանքին,</w:t>
      </w:r>
    </w:p>
    <w:p>
      <w:pPr/>
      <w:r>
        <w:rPr/>
        <w:t xml:space="preserve">3) ներկայացնելու բացատրություններ, պարզաբանումներ, օրենքով սահմանված կարգով բողոքարկելու ուսումնասիրություն իրականացնող անձանց գործողությունները,</w:t>
      </w:r>
    </w:p>
    <w:p>
      <w:pPr/>
      <w:r>
        <w:rPr/>
        <w:t xml:space="preserve">          4) չկատարելու ուսումնասիրություն իրականացնող անձանց իրավասություններից, ինչպես նաև ուսումնասիրության նպատակներից և ծրագրերից չբխող պահանջներ:</w:t>
      </w:r>
    </w:p>
    <w:p>
      <w:pPr/>
      <w:r>
        <w:rPr/>
        <w:t xml:space="preserve">2.5. Ուսումնասիրության ենթակա Տարածքային մարմնի ղեկավարը պարտավոր է`</w:t>
      </w:r>
    </w:p>
    <w:p>
      <w:pPr/>
      <w:r>
        <w:rPr/>
        <w:t xml:space="preserve">1) չխոչընդոտել ուսումնասիրության ընթացքը, կատարել ուսումնասիրություն իրականացնող անձանց օրինական պահանջները.</w:t>
      </w:r>
    </w:p>
    <w:p>
      <w:pPr/>
      <w:r>
        <w:rPr/>
        <w:t xml:space="preserve">2) ուսումնասիրություն իրականացնողի պահանջով ներկայացնել պահանջվող փաստաթղթերը, տվյալները:</w:t>
      </w:r>
    </w:p>
    <w:p>
      <w:pPr/>
      <w:r>
        <w:rPr/>
        <w:t xml:space="preserve">2.6. Ուսումնասիրության արդյունքում կազմված եզրակացությունը ուղարկվում է Տարածքային մարմնի ղեկավարին կարգապահական տույժի ենթարկելու իրավասու մարմնին՝ համապատասխան խախտում թույլ տված անձանց պատասխանատվության ենթարկելու համար:</w:t>
      </w:r>
    </w:p>
    <w:p>
      <w:pPr/>
      <w:r>
        <w:rPr/>
        <w:t xml:space="preserve">2.7. Ուսումնասիրության արդյունքում կազմված եզրակացությունը հիմք է (օրենքով չարգելված դեպքերում) համապատասխան իրավասու մարմնի կողմից պատասխանատվության ենթակա ծառայողների նկատմամբ իրականացվող ծառայողական քննության ժամկետները կրճատելու կամ լրացուցիչ ծառայողական քննություն չիրականացնելու համար: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EF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91B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6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C9C5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2026-03-31T18:53:59+04:00</dcterms:created>
  <dcterms:modified xsi:type="dcterms:W3CDTF">2026-03-31T18:53:59+04:00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