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փոփոխություններ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</w:t>
      </w:r>
      <w:br/>
      <w:r>
        <w:rPr/>
        <w:t xml:space="preserve"> ՕՐԵՆՔԸ</w:t>
      </w:r>
    </w:p>
    <w:p>
      <w:pPr>
        <w:jc w:val="center"/>
      </w:pPr>
      <w:r>
        <w:rPr/>
        <w:t xml:space="preserve">«ՀԱՅԱՍՏԱՆԻ ՀԱՆՐԱՊԵՏՈՒԹՅԱՆ ՔՐԵԱԿԱՆ ՕՐԵՆՍԳՐՔՈՒՄ ՓՈՓՈԽՈՒԹՅՈՒՆՆԵՐ ԿԱՏԱՐԵԼՈՒ ՄԱՍԻՆ»</w:t>
      </w:r>
    </w:p>
    <w:p>
      <w:pPr>
        <w:jc w:val="center"/>
      </w:pPr>
      <w:r>
        <w:rPr/>
        <w:t xml:space="preserve">                                                                                                  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.</w:t>
      </w:r>
      <w:r>
        <w:rPr/>
        <w:t xml:space="preserve"> Հայաստանի Հանրապետության 2003 թվականի ապրիլի 18-ի քրեական օրենսգրքի (այսուհետև` Օրենսգիրք) 333-րդ հոդվածում՝</w:t>
      </w:r>
    </w:p>
    <w:p>
      <w:pPr/>
      <w:r>
        <w:rPr/>
        <w:t xml:space="preserve">1) 1-ին մասի սանկցիան շարադրել հետևյալ խմբագրությամբ.</w:t>
      </w:r>
    </w:p>
    <w:p>
      <w:pPr/>
      <w:r>
        <w:rPr/>
        <w:t xml:space="preserve">«պատժվում է տուգանքով՝ նվազագույն աշխատավարձի հինգհարյուրապատիկից ութհարյուրապատիկի չափով, կամ կալանքով՝ երկուսից երեք ամիս ժամկետով, կամ ազատազրկմամբ՝ առավելագույնը երեք տարի ժամկետով:»:</w:t>
      </w:r>
    </w:p>
    <w:p>
      <w:pPr/>
      <w:r>
        <w:rPr/>
        <w:t xml:space="preserve">2) 2-րդ մասի սանկցիան շարադրել հետևյալ խմբագրությամբ.</w:t>
      </w:r>
    </w:p>
    <w:p>
      <w:pPr/>
      <w:r>
        <w:rPr/>
        <w:t xml:space="preserve">  «պատժվում է ազատազրկմամբ՝ առավելագույնը վեց տարի ժամկետով:»: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  Սույն օրենքն ուժի մեջ է մտնում պաշտոնական հրապարակման օրվան հաջորդող տասներորդ օրը:  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2026-03-31T11:45:13+04:00</dcterms:created>
  <dcterms:modified xsi:type="dcterms:W3CDTF">2026-03-31T11:45:13+04:00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