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ՖՈՆԴԻ` ԸՍՏ ՆՊԱՏԱԿԱՅԻՆ ՆՇԱՆԱԿՈՒԹՅԱՆ ՀՈՂԵՐԻ 2020 ԹՎԱԿԱՆԻ ԿԱԴԱՍՏՐԱՅԻՆ ԳՆԵՐԸ ՀԱՍՏԱՏԵԼՈՒ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</w:t>
      </w:r>
      <w:r>
        <w:rPr>
          <w:u w:val="single"/>
        </w:rPr>
        <w:t xml:space="preserve">       </w:t>
      </w:r>
      <w:r>
        <w:rPr/>
        <w:t xml:space="preserve">»  «</w:t>
      </w:r>
      <w:r>
        <w:rPr>
          <w:u w:val="single"/>
        </w:rPr>
        <w:t xml:space="preserve">                         </w:t>
      </w:r>
      <w:r>
        <w:rPr/>
        <w:t xml:space="preserve">»  2020 թվականի N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ՀՈՂԱՅԻՆ</w:t>
      </w:r>
      <w:r>
        <w:rPr/>
        <w:t xml:space="preserve"> </w:t>
      </w:r>
      <w:r>
        <w:rPr>
          <w:b w:val="1"/>
          <w:bCs w:val="1"/>
        </w:rPr>
        <w:t xml:space="preserve">ՖՈՆԴԻ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ԸՍՏ</w:t>
      </w:r>
      <w:r>
        <w:rPr/>
        <w:t xml:space="preserve"> </w:t>
      </w:r>
      <w:r>
        <w:rPr>
          <w:b w:val="1"/>
          <w:bCs w:val="1"/>
        </w:rPr>
        <w:t xml:space="preserve">ՆՊԱՏԱԿԱՅԻՆ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ՀՈՂԵՐԻ</w:t>
      </w:r>
      <w:r>
        <w:rPr>
          <w:b w:val="1"/>
          <w:bCs w:val="1"/>
        </w:rPr>
        <w:t xml:space="preserve"> 2020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ԿԱԴԱՍՏՐԱՅԻՆ</w:t>
      </w:r>
      <w:r>
        <w:rPr/>
        <w:t xml:space="preserve"> </w:t>
      </w:r>
      <w:r>
        <w:rPr>
          <w:b w:val="1"/>
          <w:bCs w:val="1"/>
        </w:rPr>
        <w:t xml:space="preserve">ԳՆԵՐԸ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 Հայաստանի Հանրապետության հողային օրենսգրքի 66-րդ հոդվածի 2-րդ մասի երկրորդ պարբերությանը և «Հողի հարկի մասին» Հայաստանի Հանրապետության օրենքի 2-րդ հոդվածի պահանջներին համապատասխան`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հողային ֆոնդի՝ ըստ նպատակային նշանակության հողերի 2020 թվականի կադաստրային գները՝ Հայաստանի Հանրապետության կառավարության 2007 թվականի ապրիլի 19-ի N 607-Ն և 2016 թվականի սեպտեմբերի 2-ի N 898-Ն որոշումներով սահմանված չափերով: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171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2026-03-31T13:15:35+04:00</dcterms:created>
  <dcterms:modified xsi:type="dcterms:W3CDTF">2026-03-31T13:15:35+04:00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