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«ՔԱՂԱՔԱՇԻՆՈՒԹՅԱՆ ՄԱՍԻՆ» ՀՀ ՕՐԵՆՔՈՒՄ ՓՈՓՈԽՈՒԹՅՈՒՆՆԵՐ ԵՎ ԼՐԱՑՈՒՄՆԵՐ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«ՔԱՂԱՔԱՇԻՆՈՒԹՅԱՆ ՄԱՍԻՆ» 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ՓՈՓՈԽՈՒԹՅՈՒՆ</w:t>
      </w:r>
      <w:r>
        <w:rPr>
          <w:b w:val="1"/>
          <w:bCs w:val="1"/>
        </w:rPr>
        <w:t xml:space="preserve">ՆԵՐ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 </w:t>
      </w:r>
      <w:r>
        <w:rPr/>
        <w:t xml:space="preserve">«Քաղաքաշինության մասին» Հայաստանի Հանրապետության 1998 թվականի մայիսի 5-ի ՀՕ-217 օրենքի հոդված 10.1-ի 3-րդ մասի.</w:t>
      </w:r>
    </w:p>
    <w:p>
      <w:pPr>
        <w:jc w:val="both"/>
      </w:pPr>
      <w:r>
        <w:rPr/>
        <w:t xml:space="preserve">1)  3-րդ կետում «օրենքների և իրավական այլ» բառերը փոխարինել «օրենսդրական և նորմատիվ իրավական» բառերով,</w:t>
      </w:r>
    </w:p>
    <w:p>
      <w:pPr>
        <w:jc w:val="both"/>
      </w:pPr>
      <w:r>
        <w:rPr/>
        <w:t xml:space="preserve">2) 3-րդ կետից հետո լրացնել նոր կետ` հետևյալ խմբագրությամբ.</w:t>
      </w:r>
    </w:p>
    <w:p>
      <w:pPr>
        <w:jc w:val="both"/>
      </w:pPr>
      <w:r>
        <w:rPr/>
        <w:t xml:space="preserve">«3.1) «ընդունում է քաղաքաշինության բնագավառի գործունեությունը կարգավորող ենթաօրենսդրական նորմատիվ իրավական ակտեր.»: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/>
        <w:t xml:space="preserve"> Սույն օրենքն ուժի մեջ է մտնում պաշտոնական հրապարակմանը հաջորդող օրվանից։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2026-04-05T22:42:18+04:00</dcterms:created>
  <dcterms:modified xsi:type="dcterms:W3CDTF">2026-04-05T22:42:18+04:00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