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«ՈՍՏԻԿԱՆՈՒԹՅՈՒՆՈՒՄ ԾԱՌԱՅՈՒԹՅԱՆ ՄԱՍԻՆ» ՀԱՅԱՍՏԱՆԻ ՀԱՆՐԱՊԵՏՈՒԹՅԱՆ ՕՐԵՆՔՈՒՄ ԼՐԱՑՈՒՄ ԿԱՏԱՐԵԼՈՒ ՄԱՍԻՆ» և  «ԶԻՆՎՈՐԱԿԱՆ ԾԱՌԱՅՈՒԹՅԱՆ ԵՎ ԶԻՆԾԱՌԱՅՈՂԻ ԿԱՐԳԱՎԻՃԱԿԻ ՄԱՍԻՆ» ՀԱՅԱՍՏԱՆԻ ՀԱՆՐԱՊԵՏՈՒԹՅԱՆ ՕՐԵՆՔՈՒՄ  ԼՐԱՑՈՒՄ ԿԱՏԱՐԵԼՈՒ ՄԱՍԻՆ» ՀԱՅԱՍՏԱՆԻ ՀԱՆՐԱՊԵՏՈՒԹՅԱՆ ՕՐԵՆՔՆԵՐԻ ՆԱԽԱԳԾԵՐ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ՈՍՏԻԿԱՆՈՒԹՅՈՒՆՈՒՄ</w:t>
      </w:r>
      <w:r>
        <w:rPr/>
        <w:t xml:space="preserve"> </w:t>
      </w:r>
      <w:r>
        <w:rPr>
          <w:b w:val="1"/>
          <w:bCs w:val="1"/>
        </w:rPr>
        <w:t xml:space="preserve">ԾԱՌԱՅՈՒԹՅԱՆ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Հոդված 1. «Ոստիկանությունում ծառայության մասին» Հայաստանի Հանրապետության 2002 թվականի հուլիսի 3-ի ՀՕ-401-Ն օրենքի (այսուհետ՝ Օրենք) 40-րդ հոդվածի 2-րդ մասում լրացնել հետևյալ բովանդակությամբ 3-րդ կետ.</w:t>
      </w:r>
    </w:p>
    <w:p>
      <w:pPr/>
      <w:r>
        <w:rPr/>
        <w:t xml:space="preserve">«3) ոստիկանության ուսումնական հաստատությունն ավարտելուց հետո ոստիկանությունում ծառայել է առնվազն երեք տարի և նշանակվել է հետաքննիչի, քննիչի, դատախազի, դատավորի պաշտոնում կամ տեղափոխվել է Հայաստանի Հանրապետության պաշտպանության նախարարություն՝ «Զինվորական ծառայության և զինծառայողի կարգավիճակի մասին» Հայաստանի Հանրապետության օրենքի 44-րդ հոդվածի 1-ին մասի 3-րդ կետի համաձայն հետագա ծառայությունը շարունակելու, ու նոր պաշտոնում անընդմեջ ծառայել է առնվազն երկու տարի: Նոր պաշտոնում ծառայելու համար սույն կետում սահմանված ժամկետից շուտ ծառայողի ազատվելու դեպքում, այդ մասին տեղեկացվում է Հայաստանի Հանրապետության ոստիկանությանը»:</w:t>
      </w:r>
    </w:p>
    <w:p>
      <w:pPr/>
      <w:r>
        <w:rPr/>
        <w:t xml:space="preserve">Հոդված 2. Սույն օրենքն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ԶԻՆՎՈՐԱԿԱՆ</w:t>
      </w:r>
      <w:r>
        <w:rPr/>
        <w:t xml:space="preserve"> </w:t>
      </w:r>
      <w:r>
        <w:rPr>
          <w:b w:val="1"/>
          <w:bCs w:val="1"/>
        </w:rPr>
        <w:t xml:space="preserve">ԾԱՌԱՅՈՒԹՅԱՆ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ԶԻՆԾԱՌԱՅՈՂԻ</w:t>
      </w:r>
      <w:r>
        <w:rPr/>
        <w:t xml:space="preserve"> </w:t>
      </w:r>
      <w:r>
        <w:rPr>
          <w:b w:val="1"/>
          <w:bCs w:val="1"/>
        </w:rPr>
        <w:t xml:space="preserve">ԿԱՐԳԱՎԻՃԱԿԻ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 «Զինվորական ծառայության և զինծառայողի կարգավիճակի մասին» Հայաստանի Հանրապետության 2017 թվականի նոյեմբերի 15-ի ՀՕ-195-Ն օրենքի (այսուհետ՝ Օրենք) 44-րդ հոդվածում՝</w:t>
      </w:r>
    </w:p>
    <w:p>
      <w:pPr>
        <w:numPr>
          <w:ilvl w:val="0"/>
          <w:numId w:val="2"/>
        </w:numPr>
      </w:pPr>
      <w:r>
        <w:rPr/>
        <w:t xml:space="preserve">1-ին մասը լրացնել հետևյալ բովանդակությամբ 5-րդ կետով.</w:t>
      </w:r>
    </w:p>
    <w:p>
      <w:pPr/>
      <w:r>
        <w:rPr/>
        <w:t xml:space="preserve">«5) սույն հոդվածի 2-րդ մասի երկրորդ պարբերությունում նշված պաշտոններում՝ օրենքով սահմանված պայմանների պահպանմամբ:»,</w:t>
      </w:r>
    </w:p>
    <w:p>
      <w:pPr>
        <w:numPr>
          <w:ilvl w:val="0"/>
          <w:numId w:val="3"/>
        </w:numPr>
      </w:pPr>
      <w:r>
        <w:rPr/>
        <w:t xml:space="preserve">2-րդ մասը լրացնել հետևյալ բովանդակությամբ նոր նախադասություն.</w:t>
      </w:r>
    </w:p>
    <w:p>
      <w:pPr/>
      <w:r>
        <w:rPr/>
        <w:t xml:space="preserve">«Սույն օրենքով ծագող իրավական հետևանքները չեն կիրառվում, եթե հետուսումնական պայմանագրային զինվորական ծառայություն անցնելու պարտավորություն ունեցող զինծառայողը զինված ուժերում ծառայել է առնվազն 3 տարի և նշանակվել է հետաքննիչի, քննիչի, դատախազի, դատավորի պաշտոնում ու նոր պաշտոնում անընդմեջ ծառայել է առնվազն երկու տարի: Նոր պաշտոնում ծառայելու համար սույն կետում սահմանված ժամկետից շուտ ծառայողի ազատվելու դեպքում, այդ մասին տեղեկացվում է Հայաստանի Հանրապետության պաշտպանության նախարարությանը:»: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2.</w:t>
      </w:r>
      <w:r>
        <w:rPr/>
        <w:t xml:space="preserve"> 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D4C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E6D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2026-04-01T08:37:48+04:00</dcterms:created>
  <dcterms:modified xsi:type="dcterms:W3CDTF">2026-04-01T08:37:48+04:00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