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«ԴԵՂԵՐԻ ՄԱՍԻՆ» ՀԱՅԱՍՏԱՆԻ ՀԱՆՐԱՊԵՏՈՒԹՅԱՆ ՕՐԵՆՔՈՒՄ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ՀԱՆՐԱՊԵՏՈԻԹՅԱՆ ՕՐԵՆՔԸ 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ԴԵՂԵՐԻ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>
          <w:b w:val="1"/>
          <w:bCs w:val="1"/>
        </w:rPr>
        <w:t xml:space="preserve">«Դեղերի մասին» Հայաստանի Հանրապետության 2016 թվականի մայիսի 17-ի</w:t>
      </w:r>
      <w:r>
        <w:rPr/>
        <w:t xml:space="preserve"> ՀՕ-86-Ն օրենքի (այսուհետ՝ Օրենք) 3-րդ հոդվածի 1-ին մասի 16-րդ, 55-րդ կետում, 6-րդ հոդվածի վերնագրում և 1-ին մասում «բնագավառում պետական կառավարման լիազոր» բառերը փոխարինել «հարցերով լիազորված պետական կառավարման»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21-րդ հոդվածի 2-րդ մասի 2-րդ կետի ե. ենթակետում «պետական կառավարչական հիմնարկները» բառերը փոխարինել «պետական մարմինները»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2026-03-31T11:23:04+04:00</dcterms:created>
  <dcterms:modified xsi:type="dcterms:W3CDTF">2026-03-31T11:23:04+04:00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