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ՕՐԵՆՔԸ «ՎԱՐՉԱԿԱՆ ԻՐԱՎԱԽԱԽՏՈՒՄՆԵՐԻ ՎԵՐԱԲԵՐՅԱԼ» ՀԱՅԱՍՏԱՆԻ ՀԱՆՐԱՊԵՏՈՒԹՅԱՆ ՕՐԵՆՍԳՐՔՈՒՄ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Վարչական իրավախախտումների վերաբերյալ Հայաստանի Հանրապետության 1985 թվականի դեկտեմբերի 6-ի օրենսգրքի (այսուհետ՝ Օրենսգիրք) 169.1-րդ հոդվածի 3-րդ և 4-րդ պարբերությունները շարադրել նոր բովանդակությամբ՝</w:t>
      </w:r>
    </w:p>
    <w:p>
      <w:pPr/>
      <w:r>
        <w:rPr/>
        <w:t xml:space="preserve">«Հայտարարագիրը կամ հաշվարկը կամ օրենքով կամ այլ իրավական ակտերով սահմանված այլ փաստաթուղթ, բացառությամբ ֆինանսական հաշվետվությունների, հարկային մարմիններ կամ օրենքով սահմանված դեպքերում տեղական ինքնակառավարման մարմիններ սահմանված ժամկետում չներկայացնելը`</w:t>
      </w:r>
    </w:p>
    <w:p>
      <w:pPr/>
      <w:r>
        <w:rPr/>
        <w:t xml:space="preserve">առաջացնում է նախազգուշացում,</w:t>
      </w:r>
    </w:p>
    <w:p>
      <w:pPr/>
      <w:r>
        <w:rPr/>
        <w:t xml:space="preserve">Սույն հոդվածի երրորդ մասի համաձայն՝ օրենքով սահմանված կարգով նախազգուշացվելուց հետո տասնհինգօրյա ժամկետում այն պարտականության չկատարելը, որի համար նշանակվել էր վարչական տույժ՝</w:t>
      </w:r>
    </w:p>
    <w:p>
      <w:pPr/>
      <w:r>
        <w:rPr/>
        <w:t xml:space="preserve">առաջացնում է տուգանքի նշանակում սահմանված նվազագույն աշխատավարձի տասնհինգապատիկի չափով:</w:t>
      </w:r>
    </w:p>
    <w:p>
      <w:pPr/>
      <w:r>
        <w:rPr/>
        <w:t xml:space="preserve">Սույն հոդվածի երրորդ մասով սահմանված խախտման կրկնակի կատարումնը մեկ տարվա ընթացքում՝ առաջացնում է տուգանքի նշանակում սահմանված նվազագույն աշխատավարձի քսանապատիկի չափով:»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Օրենսգրքի 170.3 հոդվածը շարադրել նոր բովանդակությամբ՝</w:t>
      </w:r>
    </w:p>
    <w:p>
      <w:pPr/>
      <w:r>
        <w:rPr/>
        <w:t xml:space="preserve">«1. Հարկերը, տուրքերը և օրենքով սահմանված պարտադիր այլ վճարումները սահմանված ժամկետներում չվճարելը`</w:t>
      </w:r>
    </w:p>
    <w:p>
      <w:pPr/>
      <w:r>
        <w:rPr/>
        <w:t xml:space="preserve">առաջացնում է նախազգուշացում,</w:t>
      </w:r>
    </w:p>
    <w:p>
      <w:pPr>
        <w:numPr>
          <w:ilvl w:val="0"/>
          <w:numId w:val="2"/>
        </w:numPr>
      </w:pPr>
      <w:r>
        <w:rPr/>
        <w:t xml:space="preserve">Սույն հոդվածի առաջին մասի համաձայն՝ օրենքով սահմանված կարգով նախազգուշացվելուց հետո երեսունօրյա ժամկետում այն պարտավորության չկատարումը, որի համար նշանակվել էր վարչական տույժ՝</w:t>
      </w:r>
    </w:p>
    <w:p>
      <w:pPr/>
      <w:r>
        <w:rPr/>
        <w:t xml:space="preserve">առաջացնում է տուգանքի նշանակում սահմանված նվազագույն աշխատավարձի տասնհինգապատիկի չափով:</w:t>
      </w:r>
    </w:p>
    <w:p>
      <w:pPr>
        <w:numPr>
          <w:ilvl w:val="0"/>
          <w:numId w:val="3"/>
        </w:numPr>
      </w:pPr>
      <w:r>
        <w:rPr/>
        <w:t xml:space="preserve">Սույն հոդվածի առաջին մասով սահմանված որևէ խախտման կրկնակի կատարումը մեկ տարվա ընթացքում՝ առաջացնում է տուգանքի նշանակում սահմանված նվազագույն աշխատավարձի քսանապատիկի չափով:»: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/>
        <w:t xml:space="preserve">  Սույն օրենքն ուժի մեջ է մտնում պաշտոնական հրապարակման օրվան հաջորդող տասներորդ օրը։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 </w:t>
      </w:r>
      <w:r>
        <w:rPr/>
        <w:t xml:space="preserve">Մինչև սույն օրենքն ուժի մեջ մտնելը կատարած իրավախախտումները քննվում են և դրանց համար պատասխանատվության միջոցները կիրառվում են սույն օրենքով սահմանված կարգով: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0CC2D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9FA2F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2026-04-03T20:53:52+04:00</dcterms:created>
  <dcterms:modified xsi:type="dcterms:W3CDTF">2026-04-03T20:53:52+04:00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