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titleStyle"/>
      </w:pPr>
      <w:bookmarkStart w:id="0" w:name="_Toc0"/>
      <w:r>
        <w:t>«Հայաստանի Հանրապետության քաղաքացիական օրենսգրքում լրացում կատարելու մասին» Հայաստանի Հանրապետության օրենք</w:t>
      </w:r>
      <w:bookmarkEnd w:id="0"/>
    </w:p>
    <w:p>
      <w:pPr>
        <w:jc w:val="center"/>
        <w:spacing w:before="0" w:after="0" w:line="360" w:lineRule="auto"/>
      </w:pPr>
      <w:r>
        <w:rPr>
          <w:rFonts w:ascii="'GHEA Grapalat'" w:hAnsi="'GHEA Grapalat'" w:eastAsia="'GHEA Grapalat'" w:cs="'GHEA Grapalat'"/>
          <w:lang w:val="hy-HY"/>
          <w:sz w:val="24"/>
          <w:szCs w:val="24"/>
          <w:b w:val="1"/>
          <w:bCs w:val="1"/>
        </w:rPr>
        <w:t xml:space="preserve">ՀԱՅԱՍՏԱՆԻ ՀԱՆՐԱՊԵՏՈՒԹՅԱՆ</w:t>
      </w:r>
      <w:br/>
      <w:r>
        <w:rPr>
          <w:rFonts w:ascii="'GHEA Grapalat'" w:hAnsi="'GHEA Grapalat'" w:eastAsia="'GHEA Grapalat'" w:cs="'GHEA Grapalat'"/>
          <w:lang w:val="hy-HY"/>
          <w:sz w:val="24"/>
          <w:szCs w:val="24"/>
          <w:b w:val="1"/>
          <w:bCs w:val="1"/>
        </w:rPr>
        <w:t xml:space="preserve">ՕՐԵՆՔԸ</w:t>
      </w:r>
    </w:p>
    <w:p>
      <w:pPr>
        <w:jc w:val="both"/>
        <w:ind w:left="0" w:right="0" w:firstLine="450"/>
        <w:spacing w:before="0" w:after="0" w:line="360" w:lineRule="auto"/>
      </w:pPr>
      <w:r>
        <w:rPr>
          <w:lang w:val="hy-HY"/>
          <w:sz w:val="24"/>
          <w:szCs w:val="24"/>
          <w:b w:val="1"/>
          <w:bCs w:val="1"/>
        </w:rPr>
        <w:t xml:space="preserve">  </w:t>
      </w:r>
    </w:p>
    <w:p>
      <w:pPr>
        <w:jc w:val="center"/>
        <w:ind w:left="0" w:right="0" w:firstLine="450"/>
        <w:spacing w:before="0" w:after="0" w:line="360" w:lineRule="auto"/>
      </w:pPr>
      <w:r>
        <w:rPr>
          <w:rFonts w:ascii="'GHEA Grapalat'" w:hAnsi="'GHEA Grapalat'" w:eastAsia="'GHEA Grapalat'" w:cs="'GHEA Grapalat'"/>
          <w:lang w:val="hy-HY"/>
          <w:sz w:val="24"/>
          <w:szCs w:val="24"/>
          <w:b w:val="1"/>
          <w:bCs w:val="1"/>
        </w:rPr>
        <w:t xml:space="preserve">ՀԱՅԱՍՏԱՆԻ ՀԱՆՐԱՊԵՏՈՒԹՅԱՆ ՔԱՂԱՔԱՑԻԱԿԱՆ ՕՐԵՆՍԳՐՔՈՒՄ ԼՐԱՑՈՒՄՆԵՐ ԿԱՏԱՐԵԼՈՒ ՄԱՍԻՆ</w:t>
      </w:r>
    </w:p>
    <w:p>
      <w:pPr>
        <w:jc w:val="both"/>
        <w:ind w:left="0" w:right="0" w:firstLine="450"/>
        <w:spacing w:before="0" w:after="0" w:line="360" w:lineRule="auto"/>
      </w:pPr>
      <w:r>
        <w:rPr>
          <w:lang w:val="hy-HY"/>
          <w:sz w:val="24"/>
          <w:szCs w:val="24"/>
        </w:rPr>
        <w:t xml:space="preserve"> </w:t>
      </w:r>
    </w:p>
    <w:p>
      <w:pPr>
        <w:jc w:val="both"/>
        <w:ind w:left="0" w:right="0" w:firstLine="375"/>
        <w:spacing w:after="0" w:line="360" w:lineRule="auto"/>
      </w:pPr>
      <w:r>
        <w:rPr>
          <w:rFonts w:ascii="'GHEA Grapalat'" w:hAnsi="'GHEA Grapalat'" w:eastAsia="'GHEA Grapalat'" w:cs="'GHEA Grapalat'"/>
          <w:lang w:val="hy-HY"/>
          <w:color w:val="black"/>
          <w:sz w:val="24"/>
          <w:szCs w:val="24"/>
          <w:b w:val="1"/>
          <w:bCs w:val="1"/>
        </w:rPr>
        <w:t xml:space="preserve">Հոդված 1.</w:t>
      </w:r>
      <w:r>
        <w:rPr>
          <w:lang w:val="hy-HY"/>
          <w:color w:val="black"/>
          <w:sz w:val="24"/>
          <w:szCs w:val="24"/>
        </w:rPr>
        <w:t xml:space="preserve"> </w:t>
      </w:r>
      <w:r>
        <w:rPr>
          <w:rFonts w:ascii="'GHEA Grapalat'" w:hAnsi="'GHEA Grapalat'" w:eastAsia="'GHEA Grapalat'" w:cs="'GHEA Grapalat'"/>
          <w:lang w:val="hy-HY"/>
          <w:color w:val="black"/>
          <w:sz w:val="24"/>
          <w:szCs w:val="24"/>
        </w:rPr>
        <w:t xml:space="preserve">1998 թվականի մայիսի 5-ի Հայաստանի Հանրապետության քաղաքացիական օրենսգրքի (այսուհետ` Օրենսգիրք) 928</w:t>
      </w:r>
      <w:r>
        <w:rPr>
          <w:rFonts w:ascii="'Cambria Math'" w:hAnsi="'Cambria Math'" w:eastAsia="'Cambria Math'" w:cs="'Cambria Math'"/>
          <w:lang w:val="hy-HY"/>
          <w:color w:val="black"/>
          <w:sz w:val="24"/>
          <w:szCs w:val="24"/>
        </w:rPr>
        <w:t xml:space="preserve">․</w:t>
      </w:r>
      <w:r>
        <w:rPr>
          <w:rFonts w:ascii="'GHEA Grapalat'" w:hAnsi="'GHEA Grapalat'" w:eastAsia="'GHEA Grapalat'" w:cs="'GHEA Grapalat'"/>
          <w:lang w:val="hy-HY"/>
          <w:color w:val="black"/>
          <w:sz w:val="24"/>
          <w:szCs w:val="24"/>
        </w:rPr>
        <w:t xml:space="preserve">6-րդ հոդվածի վերնագիրը շարադրել հետևյալ խմբագրությամբ՝ նոր</w:t>
      </w:r>
      <w:r>
        <w:rPr>
          <w:rFonts w:ascii="'Cambria Math'" w:hAnsi="'Cambria Math'" w:eastAsia="'Cambria Math'" w:cs="'Cambria Math'"/>
          <w:lang w:val="hy-HY"/>
          <w:color w:val="black"/>
          <w:sz w:val="24"/>
          <w:szCs w:val="24"/>
        </w:rPr>
        <w:t xml:space="preserve"> </w:t>
      </w:r>
      <w:r>
        <w:rPr>
          <w:rFonts w:ascii="'GHEA Grapalat'" w:hAnsi="'GHEA Grapalat'" w:eastAsia="'GHEA Grapalat'" w:cs="'GHEA Grapalat'"/>
          <w:lang w:val="hy-HY"/>
          <w:color w:val="black"/>
          <w:sz w:val="24"/>
          <w:szCs w:val="24"/>
        </w:rPr>
        <w:t xml:space="preserve">բովանդակությամբ</w:t>
      </w:r>
      <w:r>
        <w:rPr>
          <w:rFonts w:ascii="'Cambria Math'" w:hAnsi="'Cambria Math'" w:eastAsia="'Cambria Math'" w:cs="'Cambria Math'"/>
          <w:lang w:val="hy-HY"/>
          <w:color w:val="black"/>
          <w:sz w:val="24"/>
          <w:szCs w:val="24"/>
        </w:rPr>
        <w:t xml:space="preserve">․</w:t>
      </w:r>
    </w:p>
    <w:p>
      <w:pPr>
        <w:jc w:val="both"/>
        <w:ind w:left="0" w:right="0" w:firstLine="375"/>
        <w:spacing w:after="0" w:line="360" w:lineRule="auto"/>
      </w:pPr>
      <w:r>
        <w:rPr>
          <w:rFonts w:ascii="'GHEA Grapalat'" w:hAnsi="'GHEA Grapalat'" w:eastAsia="'GHEA Grapalat'" w:cs="'GHEA Grapalat'"/>
          <w:lang w:val="hy-HY"/>
          <w:color w:val="black"/>
          <w:sz w:val="24"/>
          <w:szCs w:val="24"/>
        </w:rPr>
        <w:t xml:space="preserve">«</w:t>
      </w:r>
      <w:r>
        <w:rPr>
          <w:rFonts w:ascii="'GHEA Grapalat'" w:hAnsi="'GHEA Grapalat'" w:eastAsia="'GHEA Grapalat'" w:cs="'GHEA Grapalat'"/>
          <w:lang w:val="hy-HY"/>
          <w:color w:val="black"/>
          <w:sz w:val="24"/>
          <w:szCs w:val="24"/>
          <w:b w:val="1"/>
          <w:bCs w:val="1"/>
        </w:rPr>
        <w:t xml:space="preserve">Հոդված 928.6. Կառուցապատողի հատուկ հաշիվը, դրա մնացորդային հաշվի տնօրինման թույլատրելիության կարգը և սահմանափակումները</w:t>
      </w:r>
      <w:r>
        <w:rPr>
          <w:rFonts w:ascii="'GHEA Grapalat'" w:hAnsi="'GHEA Grapalat'" w:eastAsia="'GHEA Grapalat'" w:cs="'GHEA Grapalat'"/>
          <w:lang w:val="hy-HY"/>
          <w:color w:val="black"/>
          <w:sz w:val="24"/>
          <w:szCs w:val="24"/>
        </w:rPr>
        <w:t xml:space="preserve">»:</w:t>
      </w:r>
    </w:p>
    <w:p>
      <w:pPr>
        <w:jc w:val="both"/>
        <w:ind w:left="0" w:right="0" w:firstLine="375"/>
        <w:spacing w:after="0" w:line="360" w:lineRule="auto"/>
      </w:pPr>
      <w:r>
        <w:rPr>
          <w:rFonts w:ascii="'GHEA Grapalat'" w:hAnsi="'GHEA Grapalat'" w:eastAsia="'GHEA Grapalat'" w:cs="'GHEA Grapalat'"/>
          <w:lang w:val="hy-HY"/>
          <w:color w:val="black"/>
          <w:sz w:val="24"/>
          <w:szCs w:val="24"/>
          <w:b w:val="1"/>
          <w:bCs w:val="1"/>
        </w:rPr>
        <w:t xml:space="preserve">Հոդված 2. </w:t>
      </w:r>
      <w:r>
        <w:rPr>
          <w:rFonts w:ascii="'GHEA Grapalat'" w:hAnsi="'GHEA Grapalat'" w:eastAsia="'GHEA Grapalat'" w:cs="'GHEA Grapalat'"/>
          <w:lang w:val="hy-HY"/>
          <w:color w:val="black"/>
          <w:sz w:val="24"/>
          <w:szCs w:val="24"/>
        </w:rPr>
        <w:t xml:space="preserve">Օրենսգրքի 928</w:t>
      </w:r>
      <w:r>
        <w:rPr>
          <w:rFonts w:ascii="'Cambria Math'" w:hAnsi="'Cambria Math'" w:eastAsia="'Cambria Math'" w:cs="'Cambria Math'"/>
          <w:lang w:val="hy-HY"/>
          <w:color w:val="black"/>
          <w:sz w:val="24"/>
          <w:szCs w:val="24"/>
        </w:rPr>
        <w:t xml:space="preserve">․</w:t>
      </w:r>
      <w:r>
        <w:rPr>
          <w:rFonts w:ascii="'GHEA Grapalat'" w:hAnsi="'GHEA Grapalat'" w:eastAsia="'GHEA Grapalat'" w:cs="'GHEA Grapalat'"/>
          <w:lang w:val="hy-HY"/>
          <w:color w:val="black"/>
          <w:sz w:val="24"/>
          <w:szCs w:val="24"/>
        </w:rPr>
        <w:t xml:space="preserve">6-րդ հոդվածի</w:t>
      </w:r>
      <w:r>
        <w:rPr>
          <w:rFonts w:ascii="'Cambria Math'" w:hAnsi="'Cambria Math'" w:eastAsia="'Cambria Math'" w:cs="'Cambria Math'"/>
          <w:lang w:val="hy-HY"/>
          <w:color w:val="black"/>
          <w:sz w:val="24"/>
          <w:szCs w:val="24"/>
        </w:rPr>
        <w:t xml:space="preserve"> 7</w:t>
      </w:r>
      <w:r>
        <w:rPr>
          <w:rFonts w:ascii="'GHEA Grapalat'" w:hAnsi="'GHEA Grapalat'" w:eastAsia="'GHEA Grapalat'" w:cs="'GHEA Grapalat'"/>
          <w:lang w:val="hy-HY"/>
          <w:color w:val="black"/>
          <w:sz w:val="24"/>
          <w:szCs w:val="24"/>
        </w:rPr>
        <w:t xml:space="preserve">-րդ մասից հետո լրացնել հետևյալ բովանդակությամբ նոր՝ 8-16-րդ մասերով</w:t>
      </w:r>
      <w:r>
        <w:rPr>
          <w:rFonts w:ascii="'Cambria Math'" w:hAnsi="'Cambria Math'" w:eastAsia="'Cambria Math'" w:cs="'Cambria Math'"/>
          <w:lang w:val="hy-HY"/>
          <w:color w:val="black"/>
          <w:sz w:val="24"/>
          <w:szCs w:val="24"/>
        </w:rPr>
        <w:t xml:space="preserve">․</w:t>
      </w:r>
    </w:p>
    <w:p>
      <w:pPr>
        <w:jc w:val="both"/>
        <w:ind w:left="0" w:right="0" w:firstLine="375"/>
        <w:spacing w:after="0" w:line="360" w:lineRule="auto"/>
      </w:pPr>
      <w:r>
        <w:rPr>
          <w:rFonts w:ascii="'GHEA Grapalat'" w:hAnsi="'GHEA Grapalat'" w:eastAsia="'GHEA Grapalat'" w:cs="'GHEA Grapalat'"/>
          <w:lang w:val="hy-HY"/>
          <w:color w:val="black"/>
          <w:sz w:val="24"/>
          <w:szCs w:val="24"/>
        </w:rPr>
        <w:t xml:space="preserve">«8</w:t>
      </w:r>
      <w:r>
        <w:rPr>
          <w:rFonts w:ascii="'Cambria Math'" w:hAnsi="'Cambria Math'" w:eastAsia="'Cambria Math'" w:cs="'Cambria Math'"/>
          <w:lang w:val="hy-HY"/>
          <w:color w:val="black"/>
          <w:sz w:val="24"/>
          <w:szCs w:val="24"/>
        </w:rPr>
        <w:t xml:space="preserve">․</w:t>
      </w:r>
      <w:r>
        <w:rPr>
          <w:rFonts w:ascii="'GHEA Grapalat'" w:hAnsi="'GHEA Grapalat'" w:eastAsia="'GHEA Grapalat'" w:cs="'GHEA Grapalat'"/>
          <w:lang w:val="hy-HY"/>
          <w:color w:val="black"/>
          <w:sz w:val="24"/>
          <w:szCs w:val="24"/>
        </w:rPr>
        <w:t xml:space="preserve"> Կառուցապատողի հատուկ հաշվի մնացորդի հաշվին կարող են ձեռք բերվել Հայաստանի Հանրապետության պետական դրամային պարտատոմսեր, ինչպես նաև ներդրվել բանկային ավանդի տեսքով Հայաստանի Հանրապետությունում գրանցված բանկերում՝ պայմանով, որ բանկը պարտավորվում է միջոցները վերադարձնել առաջին իսկ պահանջով՝ անմիջապես կառուցապատողի հատուկ հաշվին։</w:t>
      </w:r>
    </w:p>
    <w:p>
      <w:pPr>
        <w:jc w:val="both"/>
        <w:ind w:left="0" w:right="0" w:firstLine="375"/>
        <w:spacing w:after="0" w:line="360" w:lineRule="auto"/>
      </w:pPr>
      <w:r>
        <w:rPr>
          <w:rFonts w:ascii="'GHEA Grapalat'" w:hAnsi="'GHEA Grapalat'" w:eastAsia="'GHEA Grapalat'" w:cs="'GHEA Grapalat'"/>
          <w:lang w:val="hy-HY"/>
          <w:color w:val="black"/>
          <w:sz w:val="24"/>
          <w:szCs w:val="24"/>
        </w:rPr>
        <w:t xml:space="preserve">9</w:t>
      </w:r>
      <w:r>
        <w:rPr>
          <w:rFonts w:ascii="'Cambria Math'" w:hAnsi="'Cambria Math'" w:eastAsia="'Cambria Math'" w:cs="'Cambria Math'"/>
          <w:lang w:val="hy-HY"/>
          <w:color w:val="black"/>
          <w:sz w:val="24"/>
          <w:szCs w:val="24"/>
        </w:rPr>
        <w:t xml:space="preserve">․</w:t>
      </w:r>
      <w:r>
        <w:rPr>
          <w:rFonts w:ascii="'GHEA Grapalat'" w:hAnsi="'GHEA Grapalat'" w:eastAsia="'GHEA Grapalat'" w:cs="'GHEA Grapalat'"/>
          <w:lang w:val="hy-HY"/>
          <w:color w:val="black"/>
          <w:sz w:val="24"/>
          <w:szCs w:val="24"/>
        </w:rPr>
        <w:t xml:space="preserve"> </w:t>
      </w:r>
      <w:r>
        <w:rPr>
          <w:rFonts w:ascii="'GHEA Grapalat'" w:hAnsi="'GHEA Grapalat'" w:eastAsia="'GHEA Grapalat'" w:cs="'GHEA Grapalat'"/>
          <w:lang w:val="hy-HY"/>
          <w:color w:val="black"/>
          <w:sz w:val="24"/>
          <w:szCs w:val="24"/>
        </w:rPr>
        <w:t xml:space="preserve">Կառուցապատողի</w:t>
      </w:r>
      <w:r>
        <w:rPr>
          <w:rFonts w:ascii="'GHEA Grapalat'" w:hAnsi="'GHEA Grapalat'" w:eastAsia="'GHEA Grapalat'" w:cs="'GHEA Grapalat'"/>
          <w:lang w:val="hy-HY"/>
          <w:color w:val="black"/>
          <w:sz w:val="24"/>
          <w:szCs w:val="24"/>
        </w:rPr>
        <w:t xml:space="preserve"> կողմից սույն հոդվածի 8-րդ մասով նախատեսված հատուկ հաշվի մնացորդային հաշվի տնօրինումը թույլատրվում է միայն այն դեպքում, եթե համապատասխան համաձայնությունը հստակորեն ամրագրված է կառուցապատողի և գնորդի միջև կնքված պայմանագրով, որտեղ պարտադիր կերպով սահմանվում է նաև պայմանագրի վաղաժամկետ լուծման կամ դադարեցման, ինչպես նաև կառուցապատողի սնանկության դեպքում միջոցների վերադարձի և/կամ պարտատոմսերի փոխանցման պայմանները։</w:t>
      </w:r>
    </w:p>
    <w:p>
      <w:pPr>
        <w:jc w:val="both"/>
        <w:ind w:left="0" w:right="0" w:firstLine="375"/>
        <w:spacing w:after="0" w:line="360" w:lineRule="auto"/>
      </w:pPr>
      <w:r>
        <w:rPr>
          <w:rFonts w:ascii="'GHEA Grapalat'" w:hAnsi="'GHEA Grapalat'" w:eastAsia="'GHEA Grapalat'" w:cs="'GHEA Grapalat'"/>
          <w:lang w:val="hy-HY"/>
          <w:color w:val="black"/>
          <w:sz w:val="24"/>
          <w:szCs w:val="24"/>
        </w:rPr>
        <w:t xml:space="preserve">10</w:t>
      </w:r>
      <w:r>
        <w:rPr>
          <w:rFonts w:ascii="'Cambria Math'" w:hAnsi="'Cambria Math'" w:eastAsia="'Cambria Math'" w:cs="'Cambria Math'"/>
          <w:lang w:val="hy-HY"/>
          <w:color w:val="black"/>
          <w:sz w:val="24"/>
          <w:szCs w:val="24"/>
        </w:rPr>
        <w:t xml:space="preserve">․</w:t>
      </w:r>
      <w:r>
        <w:rPr>
          <w:rFonts w:ascii="'GHEA Grapalat'" w:hAnsi="'GHEA Grapalat'" w:eastAsia="'GHEA Grapalat'" w:cs="'GHEA Grapalat'"/>
          <w:lang w:val="hy-HY"/>
          <w:color w:val="black"/>
          <w:sz w:val="24"/>
          <w:szCs w:val="24"/>
        </w:rPr>
        <w:t xml:space="preserve"> Եթե գնորդը չի տալիս համաձայնություն սույն հոդվածի 8-րդ </w:t>
      </w:r>
      <w:r>
        <w:rPr>
          <w:rFonts w:ascii="'GHEA Grapalat'" w:hAnsi="'GHEA Grapalat'" w:eastAsia="'GHEA Grapalat'" w:cs="'GHEA Grapalat'"/>
          <w:lang w:val="hy-HY"/>
          <w:color w:val="black"/>
          <w:sz w:val="24"/>
          <w:szCs w:val="24"/>
        </w:rPr>
        <w:t xml:space="preserve">մասով</w:t>
      </w:r>
      <w:r>
        <w:rPr>
          <w:rFonts w:ascii="'GHEA Grapalat'" w:hAnsi="'GHEA Grapalat'" w:eastAsia="'GHEA Grapalat'" w:cs="'GHEA Grapalat'"/>
          <w:lang w:val="hy-HY"/>
          <w:color w:val="black"/>
          <w:sz w:val="24"/>
          <w:szCs w:val="24"/>
        </w:rPr>
        <w:t xml:space="preserve"> </w:t>
      </w:r>
      <w:r>
        <w:rPr>
          <w:rFonts w:ascii="'GHEA Grapalat'" w:hAnsi="'GHEA Grapalat'" w:eastAsia="'GHEA Grapalat'" w:cs="'GHEA Grapalat'"/>
          <w:lang w:val="hy-HY"/>
          <w:color w:val="black"/>
          <w:sz w:val="24"/>
          <w:szCs w:val="24"/>
        </w:rPr>
        <w:t xml:space="preserve">նախատեսված</w:t>
      </w:r>
      <w:r>
        <w:rPr>
          <w:rFonts w:ascii="'GHEA Grapalat'" w:hAnsi="'GHEA Grapalat'" w:eastAsia="'GHEA Grapalat'" w:cs="'GHEA Grapalat'"/>
          <w:lang w:val="hy-HY"/>
          <w:color w:val="black"/>
          <w:sz w:val="24"/>
          <w:szCs w:val="24"/>
        </w:rPr>
        <w:t xml:space="preserve"> հատուկ հաշվի մնացորդային հաշվի տնօրինմանը, </w:t>
      </w:r>
      <w:r>
        <w:rPr>
          <w:rFonts w:ascii="'GHEA Grapalat'" w:hAnsi="'GHEA Grapalat'" w:eastAsia="'GHEA Grapalat'" w:cs="'GHEA Grapalat'"/>
          <w:lang w:val="hy-HY"/>
          <w:color w:val="black"/>
          <w:sz w:val="24"/>
          <w:szCs w:val="24"/>
        </w:rPr>
        <w:t xml:space="preserve">պայմանագիրը </w:t>
      </w:r>
      <w:r>
        <w:rPr>
          <w:rFonts w:ascii="'GHEA Grapalat'" w:hAnsi="'GHEA Grapalat'" w:eastAsia="'GHEA Grapalat'" w:cs="'GHEA Grapalat'"/>
          <w:lang w:val="hy-HY"/>
          <w:color w:val="black"/>
          <w:sz w:val="24"/>
          <w:szCs w:val="24"/>
        </w:rPr>
        <w:t xml:space="preserve">ենթակա</w:t>
      </w:r>
      <w:r>
        <w:rPr>
          <w:rFonts w:ascii="'GHEA Grapalat'" w:hAnsi="'GHEA Grapalat'" w:eastAsia="'GHEA Grapalat'" w:cs="'GHEA Grapalat'"/>
          <w:lang w:val="hy-HY"/>
          <w:color w:val="black"/>
          <w:sz w:val="24"/>
          <w:szCs w:val="24"/>
        </w:rPr>
        <w:t xml:space="preserve"> </w:t>
      </w:r>
      <w:r>
        <w:rPr>
          <w:rFonts w:ascii="'GHEA Grapalat'" w:hAnsi="'GHEA Grapalat'" w:eastAsia="'GHEA Grapalat'" w:cs="'GHEA Grapalat'"/>
          <w:lang w:val="hy-HY"/>
          <w:color w:val="black"/>
          <w:sz w:val="24"/>
          <w:szCs w:val="24"/>
        </w:rPr>
        <w:t xml:space="preserve">է</w:t>
      </w:r>
      <w:r>
        <w:rPr>
          <w:rFonts w:ascii="'GHEA Grapalat'" w:hAnsi="'GHEA Grapalat'" w:eastAsia="'GHEA Grapalat'" w:cs="'GHEA Grapalat'"/>
          <w:lang w:val="hy-HY"/>
          <w:color w:val="black"/>
          <w:sz w:val="24"/>
          <w:szCs w:val="24"/>
        </w:rPr>
        <w:t xml:space="preserve"> </w:t>
      </w:r>
      <w:r>
        <w:rPr>
          <w:rFonts w:ascii="'GHEA Grapalat'" w:hAnsi="'GHEA Grapalat'" w:eastAsia="'GHEA Grapalat'" w:cs="'GHEA Grapalat'"/>
          <w:lang w:val="hy-HY"/>
          <w:color w:val="black"/>
          <w:sz w:val="24"/>
          <w:szCs w:val="24"/>
        </w:rPr>
        <w:t xml:space="preserve">փոփոխման՝</w:t>
      </w:r>
      <w:r>
        <w:rPr>
          <w:rFonts w:ascii="'GHEA Grapalat'" w:hAnsi="'GHEA Grapalat'" w:eastAsia="'GHEA Grapalat'" w:cs="'GHEA Grapalat'"/>
          <w:lang w:val="hy-HY"/>
          <w:color w:val="black"/>
          <w:sz w:val="24"/>
          <w:szCs w:val="24"/>
        </w:rPr>
        <w:t xml:space="preserve"> </w:t>
      </w:r>
      <w:r>
        <w:rPr>
          <w:rFonts w:ascii="'GHEA Grapalat'" w:hAnsi="'GHEA Grapalat'" w:eastAsia="'GHEA Grapalat'" w:cs="'GHEA Grapalat'"/>
          <w:lang w:val="hy-HY"/>
          <w:color w:val="black"/>
          <w:sz w:val="24"/>
          <w:szCs w:val="24"/>
        </w:rPr>
        <w:t xml:space="preserve">ապահովելով</w:t>
      </w:r>
      <w:r>
        <w:rPr>
          <w:rFonts w:ascii="'GHEA Grapalat'" w:hAnsi="'GHEA Grapalat'" w:eastAsia="'GHEA Grapalat'" w:cs="'GHEA Grapalat'"/>
          <w:lang w:val="hy-HY"/>
          <w:color w:val="black"/>
          <w:sz w:val="24"/>
          <w:szCs w:val="24"/>
        </w:rPr>
        <w:t xml:space="preserve"> </w:t>
      </w:r>
      <w:r>
        <w:rPr>
          <w:rFonts w:ascii="'GHEA Grapalat'" w:hAnsi="'GHEA Grapalat'" w:eastAsia="'GHEA Grapalat'" w:cs="'GHEA Grapalat'"/>
          <w:lang w:val="hy-HY"/>
          <w:color w:val="black"/>
          <w:sz w:val="24"/>
          <w:szCs w:val="24"/>
        </w:rPr>
        <w:t xml:space="preserve">միջոցների</w:t>
      </w:r>
      <w:r>
        <w:rPr>
          <w:rFonts w:ascii="'GHEA Grapalat'" w:hAnsi="'GHEA Grapalat'" w:eastAsia="'GHEA Grapalat'" w:cs="'GHEA Grapalat'"/>
          <w:lang w:val="hy-HY"/>
          <w:color w:val="black"/>
          <w:sz w:val="24"/>
          <w:szCs w:val="24"/>
        </w:rPr>
        <w:t xml:space="preserve"> </w:t>
      </w:r>
      <w:r>
        <w:rPr>
          <w:rFonts w:ascii="'GHEA Grapalat'" w:hAnsi="'GHEA Grapalat'" w:eastAsia="'GHEA Grapalat'" w:cs="'GHEA Grapalat'"/>
          <w:lang w:val="hy-HY"/>
          <w:color w:val="black"/>
          <w:sz w:val="24"/>
          <w:szCs w:val="24"/>
        </w:rPr>
        <w:t xml:space="preserve">պահպանումը</w:t>
      </w:r>
      <w:r>
        <w:rPr>
          <w:rFonts w:ascii="'GHEA Grapalat'" w:hAnsi="'GHEA Grapalat'" w:eastAsia="'GHEA Grapalat'" w:cs="'GHEA Grapalat'"/>
          <w:lang w:val="hy-HY"/>
          <w:color w:val="black"/>
          <w:sz w:val="24"/>
          <w:szCs w:val="24"/>
        </w:rPr>
        <w:t xml:space="preserve"> </w:t>
      </w:r>
      <w:r>
        <w:rPr>
          <w:rFonts w:ascii="'GHEA Grapalat'" w:hAnsi="'GHEA Grapalat'" w:eastAsia="'GHEA Grapalat'" w:cs="'GHEA Grapalat'"/>
          <w:lang w:val="hy-HY"/>
          <w:color w:val="black"/>
          <w:sz w:val="24"/>
          <w:szCs w:val="24"/>
        </w:rPr>
        <w:t xml:space="preserve">բացառապես</w:t>
      </w:r>
      <w:r>
        <w:rPr>
          <w:rFonts w:ascii="'GHEA Grapalat'" w:hAnsi="'GHEA Grapalat'" w:eastAsia="'GHEA Grapalat'" w:cs="'GHEA Grapalat'"/>
          <w:lang w:val="hy-HY"/>
          <w:color w:val="black"/>
          <w:sz w:val="24"/>
          <w:szCs w:val="24"/>
        </w:rPr>
        <w:t xml:space="preserve"> </w:t>
      </w:r>
      <w:r>
        <w:rPr>
          <w:rFonts w:ascii="'GHEA Grapalat'" w:hAnsi="'GHEA Grapalat'" w:eastAsia="'GHEA Grapalat'" w:cs="'GHEA Grapalat'"/>
          <w:lang w:val="hy-HY"/>
          <w:color w:val="black"/>
          <w:sz w:val="24"/>
          <w:szCs w:val="24"/>
        </w:rPr>
        <w:t xml:space="preserve">հատուկ</w:t>
      </w:r>
      <w:r>
        <w:rPr>
          <w:rFonts w:ascii="'GHEA Grapalat'" w:hAnsi="'GHEA Grapalat'" w:eastAsia="'GHEA Grapalat'" w:cs="'GHEA Grapalat'"/>
          <w:lang w:val="hy-HY"/>
          <w:color w:val="black"/>
          <w:sz w:val="24"/>
          <w:szCs w:val="24"/>
        </w:rPr>
        <w:t xml:space="preserve"> </w:t>
      </w:r>
      <w:r>
        <w:rPr>
          <w:rFonts w:ascii="'GHEA Grapalat'" w:hAnsi="'GHEA Grapalat'" w:eastAsia="'GHEA Grapalat'" w:cs="'GHEA Grapalat'"/>
          <w:lang w:val="hy-HY"/>
          <w:color w:val="black"/>
          <w:sz w:val="24"/>
          <w:szCs w:val="24"/>
        </w:rPr>
        <w:t xml:space="preserve">հաշվին</w:t>
      </w:r>
      <w:r>
        <w:rPr>
          <w:rFonts w:ascii="'GHEA Grapalat'" w:hAnsi="'GHEA Grapalat'" w:eastAsia="'GHEA Grapalat'" w:cs="'GHEA Grapalat'"/>
          <w:lang w:val="hy-HY"/>
          <w:color w:val="black"/>
          <w:sz w:val="24"/>
          <w:szCs w:val="24"/>
        </w:rPr>
        <w:t xml:space="preserve">։</w:t>
      </w:r>
    </w:p>
    <w:p>
      <w:pPr>
        <w:jc w:val="both"/>
        <w:ind w:left="0" w:right="0" w:firstLine="375"/>
        <w:spacing w:after="0" w:line="360" w:lineRule="auto"/>
      </w:pPr>
      <w:r>
        <w:rPr>
          <w:rFonts w:ascii="'GHEA Grapalat'" w:hAnsi="'GHEA Grapalat'" w:eastAsia="'GHEA Grapalat'" w:cs="'GHEA Grapalat'"/>
          <w:lang w:val="hy-HY"/>
          <w:color w:val="black"/>
          <w:sz w:val="24"/>
          <w:szCs w:val="24"/>
        </w:rPr>
        <w:t xml:space="preserve">11</w:t>
      </w:r>
      <w:r>
        <w:rPr>
          <w:rFonts w:ascii="'Cambria Math'" w:hAnsi="'Cambria Math'" w:eastAsia="'Cambria Math'" w:cs="'Cambria Math'"/>
          <w:lang w:val="hy-HY"/>
          <w:color w:val="black"/>
          <w:sz w:val="24"/>
          <w:szCs w:val="24"/>
        </w:rPr>
        <w:t xml:space="preserve">․ </w:t>
      </w:r>
      <w:r>
        <w:rPr>
          <w:rFonts w:ascii="'GHEA Grapalat'" w:hAnsi="'GHEA Grapalat'" w:eastAsia="'GHEA Grapalat'" w:cs="'GHEA Grapalat'"/>
          <w:lang w:val="hy-HY"/>
          <w:color w:val="black"/>
          <w:sz w:val="24"/>
          <w:szCs w:val="24"/>
        </w:rPr>
        <w:t xml:space="preserve">Պարտատոմսերից և բանկային ավանդների դիմաց ստացված տոկոսները տնօրինվում են հատուկ հաշվի մնացորդի դիմաց հաշվեգրվող տոկոսների համար սույն օրենսգրքով սահմանված կարգով, իսկ այդ պարտատոմսերի իրացումից կամ մարումից կամ բանկային ավանդի մարման/վերադարձման արդյունքում ստացված միջոցները անմիջապես մուտքագրվում են միայն կառուցապատողի հատուկ հաշվին: </w:t>
      </w:r>
    </w:p>
    <w:p>
      <w:pPr>
        <w:jc w:val="both"/>
        <w:ind w:left="0" w:right="0" w:firstLine="375"/>
        <w:spacing w:after="0" w:line="360" w:lineRule="auto"/>
      </w:pPr>
      <w:r>
        <w:rPr>
          <w:rFonts w:ascii="'GHEA Grapalat'" w:hAnsi="'GHEA Grapalat'" w:eastAsia="'GHEA Grapalat'" w:cs="'GHEA Grapalat'"/>
          <w:lang w:val="hy-HY"/>
          <w:color w:val="black"/>
          <w:sz w:val="24"/>
          <w:szCs w:val="24"/>
        </w:rPr>
        <w:t xml:space="preserve">12</w:t>
      </w:r>
      <w:r>
        <w:rPr>
          <w:rFonts w:ascii="'Cambria Math'" w:hAnsi="'Cambria Math'" w:eastAsia="'Cambria Math'" w:cs="'Cambria Math'"/>
          <w:lang w:val="hy-HY"/>
          <w:color w:val="black"/>
          <w:sz w:val="24"/>
          <w:szCs w:val="24"/>
        </w:rPr>
        <w:t xml:space="preserve">․ </w:t>
      </w:r>
      <w:r>
        <w:rPr>
          <w:rFonts w:ascii="'GHEA Grapalat'" w:hAnsi="'GHEA Grapalat'" w:eastAsia="'GHEA Grapalat'" w:cs="'GHEA Grapalat'"/>
          <w:lang w:val="hy-HY"/>
          <w:color w:val="black"/>
          <w:sz w:val="24"/>
          <w:szCs w:val="24"/>
        </w:rPr>
        <w:t xml:space="preserve">Կառուցապատողի հատուկ հաշվի մնացորդի հաշվին ձեռք բերված պարտատոմսերի և բանկային ավանդների նկատմամբ կիրառվում են կառուցապատողի հատուկ հաշվի մնացորդի նկատմամբ սույն հոդվածով նախատեսված սահմանափակումները։</w:t>
      </w:r>
    </w:p>
    <w:p>
      <w:pPr>
        <w:jc w:val="both"/>
        <w:ind w:left="0" w:right="0" w:firstLine="375"/>
        <w:spacing w:before="0" w:after="0" w:line="360" w:lineRule="auto"/>
      </w:pPr>
      <w:r>
        <w:rPr>
          <w:rFonts w:ascii="'GHEA Grapalat'" w:hAnsi="'GHEA Grapalat'" w:eastAsia="'GHEA Grapalat'" w:cs="'GHEA Grapalat'"/>
          <w:lang w:val="hy-HY"/>
          <w:color w:val="black"/>
          <w:sz w:val="24"/>
          <w:szCs w:val="24"/>
        </w:rPr>
        <w:t xml:space="preserve">13</w:t>
      </w:r>
      <w:r>
        <w:rPr>
          <w:rFonts w:ascii="'Cambria Math'" w:hAnsi="'Cambria Math'" w:eastAsia="'Cambria Math'" w:cs="'Cambria Math'"/>
          <w:lang w:val="hy-HY"/>
          <w:color w:val="black"/>
          <w:sz w:val="24"/>
          <w:szCs w:val="24"/>
        </w:rPr>
        <w:t xml:space="preserve">․</w:t>
      </w:r>
      <w:r>
        <w:rPr>
          <w:rFonts w:ascii="'GHEA Grapalat'" w:hAnsi="'GHEA Grapalat'" w:eastAsia="'GHEA Grapalat'" w:cs="'GHEA Grapalat'"/>
          <w:lang w:val="hy-HY"/>
          <w:color w:val="black"/>
          <w:sz w:val="24"/>
          <w:szCs w:val="24"/>
        </w:rPr>
        <w:t xml:space="preserve"> Կառուցապատողի հատուկ հաշվի մնացորդի հաշվին ձեռք բերված պարտատոմսերի ժամկետը չի կարող գերազանցել շինարարության թույլտվությամբ սահմանված շինարարության ավարտի սկզբնական ժամկետը՝ առանց դրա երկարաձգման, և չի կարող գերազանցել շինթույլտվության տրամադրումից հետո մինչև երեք տարին։</w:t>
      </w:r>
    </w:p>
    <w:p>
      <w:pPr>
        <w:jc w:val="both"/>
        <w:ind w:left="0" w:right="0" w:firstLine="375"/>
        <w:spacing w:before="0" w:after="0" w:line="360" w:lineRule="auto"/>
      </w:pPr>
      <w:r>
        <w:rPr>
          <w:rFonts w:ascii="'GHEA Grapalat'" w:hAnsi="'GHEA Grapalat'" w:eastAsia="'GHEA Grapalat'" w:cs="'GHEA Grapalat'"/>
          <w:lang w:val="hy-HY"/>
          <w:color w:val="black"/>
          <w:sz w:val="24"/>
          <w:szCs w:val="24"/>
        </w:rPr>
        <w:t xml:space="preserve">14</w:t>
      </w:r>
      <w:r>
        <w:rPr>
          <w:rFonts w:ascii="'Cambria Math'" w:hAnsi="'Cambria Math'" w:eastAsia="'Cambria Math'" w:cs="'Cambria Math'"/>
          <w:lang w:val="hy-HY"/>
          <w:color w:val="black"/>
          <w:sz w:val="24"/>
          <w:szCs w:val="24"/>
        </w:rPr>
        <w:t xml:space="preserve">․</w:t>
      </w:r>
      <w:r>
        <w:rPr>
          <w:rFonts w:ascii="'GHEA Grapalat'" w:hAnsi="'GHEA Grapalat'" w:eastAsia="'GHEA Grapalat'" w:cs="'GHEA Grapalat'"/>
          <w:lang w:val="hy-HY"/>
          <w:color w:val="black"/>
          <w:sz w:val="24"/>
          <w:szCs w:val="24"/>
        </w:rPr>
        <w:t xml:space="preserve"> Հատուկ հաշվի մնացորդի հաշվին պարտատոմսերի ձեռքբերումը իրականացվում է բանկի միջոցով, որը գործում է որպես օպերատոր։ </w:t>
      </w:r>
    </w:p>
    <w:p>
      <w:pPr>
        <w:jc w:val="both"/>
        <w:spacing w:after="160" w:line="360" w:lineRule="auto"/>
      </w:pPr>
      <w:r>
        <w:rPr>
          <w:rFonts w:ascii="'GHEA Grapalat'" w:hAnsi="'GHEA Grapalat'" w:eastAsia="'GHEA Grapalat'" w:cs="'GHEA Grapalat'"/>
          <w:lang w:val="hy-HY"/>
          <w:color w:val="black"/>
          <w:sz w:val="24"/>
          <w:szCs w:val="24"/>
        </w:rPr>
        <w:t xml:space="preserve">Պարտատոմսերը կարող են ձեռք բերվել՝</w:t>
      </w:r>
    </w:p>
    <w:p>
      <w:pPr>
        <w:jc w:val="both"/>
        <w:ind w:left="0" w:right="0" w:firstLine="360"/>
        <w:spacing w:before="0" w:after="0" w:line="360" w:lineRule="auto"/>
      </w:pP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1)</w:t>
      </w: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     </w:t>
      </w:r>
      <w:r>
        <w:rPr>
          <w:rFonts w:ascii="'GHEA Grapalat'" w:hAnsi="'GHEA Grapalat'" w:eastAsia="'GHEA Grapalat'" w:cs="'GHEA Grapalat'"/>
          <w:lang w:val="hy-HY"/>
          <w:color w:val="black"/>
          <w:sz w:val="24"/>
          <w:szCs w:val="24"/>
        </w:rPr>
        <w:t xml:space="preserve">առաջնային շուկայից՝ առանց սահմանափակումների,</w:t>
      </w:r>
    </w:p>
    <w:p>
      <w:pPr>
        <w:jc w:val="both"/>
        <w:ind w:left="0" w:right="0" w:firstLine="360"/>
        <w:spacing w:before="0" w:after="0" w:line="360" w:lineRule="auto"/>
      </w:pP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2)</w:t>
      </w: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    </w:t>
      </w:r>
      <w:r>
        <w:rPr>
          <w:rFonts w:ascii="'GHEA Grapalat'" w:hAnsi="'GHEA Grapalat'" w:eastAsia="'GHEA Grapalat'" w:cs="'GHEA Grapalat'"/>
          <w:lang w:val="hy-HY"/>
          <w:color w:val="black"/>
          <w:sz w:val="24"/>
          <w:szCs w:val="24"/>
        </w:rPr>
        <w:t xml:space="preserve">երկրորդային շուկայից՝ բացառապես պարտատոմսի անվանական արժեքը չգերազանցող գնով</w:t>
      </w:r>
      <w:r>
        <w:rPr>
          <w:rFonts w:ascii="'GHEA Grapalat'" w:hAnsi="'GHEA Grapalat'" w:eastAsia="'GHEA Grapalat'" w:cs="'GHEA Grapalat'"/>
          <w:lang w:val="hy-HY"/>
          <w:color w:val="black"/>
        </w:rPr>
        <w:t xml:space="preserve">։</w:t>
      </w:r>
    </w:p>
    <w:p>
      <w:pPr>
        <w:jc w:val="both"/>
        <w:spacing w:after="0" w:line="360" w:lineRule="auto"/>
      </w:pPr>
      <w:r>
        <w:rPr>
          <w:rFonts w:ascii="'GHEA Grapalat'" w:hAnsi="'GHEA Grapalat'" w:eastAsia="'GHEA Grapalat'" w:cs="'GHEA Grapalat'"/>
          <w:lang w:val="hy-HY"/>
          <w:color w:val="black"/>
          <w:sz w:val="24"/>
          <w:szCs w:val="24"/>
        </w:rPr>
        <w:t xml:space="preserve">      </w:t>
      </w:r>
      <w:r>
        <w:rPr>
          <w:rFonts w:ascii="'GHEA Grapalat'" w:hAnsi="'GHEA Grapalat'" w:eastAsia="'GHEA Grapalat'" w:cs="'GHEA Grapalat'"/>
          <w:lang w:val="hy-HY"/>
          <w:color w:val="black"/>
          <w:sz w:val="24"/>
          <w:szCs w:val="24"/>
        </w:rPr>
        <w:t xml:space="preserve">15</w:t>
      </w:r>
      <w:r>
        <w:rPr>
          <w:rFonts w:ascii="'Cambria Math'" w:hAnsi="'Cambria Math'" w:eastAsia="'Cambria Math'" w:cs="'Cambria Math'"/>
          <w:lang w:val="hy-HY"/>
          <w:color w:val="black"/>
          <w:sz w:val="24"/>
          <w:szCs w:val="24"/>
        </w:rPr>
        <w:t xml:space="preserve">․</w:t>
      </w:r>
      <w:r>
        <w:rPr>
          <w:rFonts w:ascii="'GHEA Grapalat'" w:hAnsi="'GHEA Grapalat'" w:eastAsia="'GHEA Grapalat'" w:cs="'GHEA Grapalat'"/>
          <w:lang w:val="hy-HY"/>
          <w:color w:val="black"/>
          <w:sz w:val="24"/>
          <w:szCs w:val="24"/>
        </w:rPr>
        <w:t xml:space="preserve"> Պայմանագրի վաղաժամկետ լուծման կամ դադարեցման դեպքում, ինչպես նաև կառուցապատողի սնանկության դեպքում՝</w:t>
      </w:r>
    </w:p>
    <w:p>
      <w:pPr>
        <w:jc w:val="both"/>
        <w:ind w:left="0" w:right="0" w:firstLine="360"/>
        <w:spacing w:after="0" w:line="360" w:lineRule="auto"/>
      </w:pP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1)</w:t>
      </w: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     </w:t>
      </w:r>
      <w:r>
        <w:rPr>
          <w:rFonts w:ascii="'GHEA Grapalat'" w:hAnsi="'GHEA Grapalat'" w:eastAsia="'GHEA Grapalat'" w:cs="'GHEA Grapalat'"/>
          <w:lang w:val="hy-HY"/>
          <w:color w:val="black"/>
          <w:sz w:val="24"/>
          <w:szCs w:val="24"/>
        </w:rPr>
        <w:t xml:space="preserve">պարտատոմսը փոխանցվում է գնորդին՝ վերջինիս ընտրությամբ, կամ</w:t>
      </w:r>
    </w:p>
    <w:p>
      <w:pPr>
        <w:jc w:val="both"/>
        <w:ind w:left="0" w:right="0" w:firstLine="360"/>
        <w:spacing w:after="0" w:line="360" w:lineRule="auto"/>
      </w:pP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2)</w:t>
      </w: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    </w:t>
      </w:r>
      <w:r>
        <w:rPr>
          <w:rFonts w:ascii="'GHEA Grapalat'" w:hAnsi="'GHEA Grapalat'" w:eastAsia="'GHEA Grapalat'" w:cs="'GHEA Grapalat'"/>
          <w:lang w:val="hy-HY"/>
          <w:color w:val="black"/>
          <w:sz w:val="24"/>
          <w:szCs w:val="24"/>
        </w:rPr>
        <w:t xml:space="preserve">պարտատոմսը իրացվում է շուկայական արժեքով, և ստացված միջոցները փոխանցվում են գնորդին։</w:t>
      </w:r>
    </w:p>
    <w:p>
      <w:pPr>
        <w:jc w:val="both"/>
        <w:spacing w:after="0" w:line="360" w:lineRule="auto"/>
      </w:pPr>
      <w:r>
        <w:rPr>
          <w:rFonts w:ascii="'GHEA Grapalat'" w:hAnsi="'GHEA Grapalat'" w:eastAsia="'GHEA Grapalat'" w:cs="'GHEA Grapalat'"/>
          <w:lang w:val="hy-HY"/>
          <w:color w:val="black"/>
          <w:sz w:val="24"/>
          <w:szCs w:val="24"/>
        </w:rPr>
        <w:t xml:space="preserve">      </w:t>
      </w:r>
      <w:r>
        <w:rPr>
          <w:rFonts w:ascii="'GHEA Grapalat'" w:hAnsi="'GHEA Grapalat'" w:eastAsia="'GHEA Grapalat'" w:cs="'GHEA Grapalat'"/>
          <w:lang w:val="hy-HY"/>
          <w:color w:val="black"/>
          <w:sz w:val="24"/>
          <w:szCs w:val="24"/>
        </w:rPr>
        <w:t xml:space="preserve">16</w:t>
      </w:r>
      <w:r>
        <w:rPr>
          <w:rFonts w:ascii="'Cambria Math'" w:hAnsi="'Cambria Math'" w:eastAsia="'Cambria Math'" w:cs="'Cambria Math'"/>
          <w:lang w:val="hy-HY"/>
          <w:color w:val="black"/>
          <w:sz w:val="24"/>
          <w:szCs w:val="24"/>
        </w:rPr>
        <w:t xml:space="preserve">․</w:t>
      </w:r>
      <w:r>
        <w:rPr>
          <w:rFonts w:ascii="'GHEA Grapalat'" w:hAnsi="'GHEA Grapalat'" w:eastAsia="'GHEA Grapalat'" w:cs="'GHEA Grapalat'"/>
          <w:lang w:val="hy-HY"/>
          <w:color w:val="black"/>
          <w:sz w:val="24"/>
          <w:szCs w:val="24"/>
        </w:rPr>
        <w:t xml:space="preserve"> Եթե պարտատոմսի շուկայական արժեքը իրացման պահին ցածր է դրա անվանական արժեքից, առաջացած տարբերությունը պարտադիր կերպով փոխհատուցվում է կառուցապատողի կողմից։»:</w:t>
      </w:r>
    </w:p>
    <w:p>
      <w:pPr>
        <w:jc w:val="both"/>
        <w:ind w:left="0" w:right="0" w:firstLine="375"/>
        <w:spacing w:after="0" w:line="360" w:lineRule="auto"/>
      </w:pPr>
      <w:r>
        <w:rPr>
          <w:rFonts w:ascii="'GHEA Grapalat'" w:hAnsi="'GHEA Grapalat'" w:eastAsia="'GHEA Grapalat'" w:cs="'GHEA Grapalat'"/>
          <w:lang w:val="hy-HY"/>
          <w:color w:val="black"/>
          <w:sz w:val="24"/>
          <w:szCs w:val="24"/>
          <w:b w:val="1"/>
          <w:bCs w:val="1"/>
        </w:rPr>
        <w:t xml:space="preserve">Հոդված 3. Եզրափակիչ մաս և անցումային դրույթ</w:t>
      </w:r>
    </w:p>
    <w:p>
      <w:pPr>
        <w:jc w:val="both"/>
        <w:ind w:left="0" w:right="0" w:firstLine="375"/>
        <w:spacing w:after="0" w:line="360" w:lineRule="auto"/>
      </w:pPr>
      <w:r>
        <w:rPr>
          <w:rFonts w:ascii="'GHEA Grapalat'" w:hAnsi="'GHEA Grapalat'" w:eastAsia="'GHEA Grapalat'" w:cs="'GHEA Grapalat'"/>
          <w:lang w:val="hy-HY"/>
          <w:color w:val="black"/>
          <w:sz w:val="24"/>
          <w:szCs w:val="24"/>
        </w:rPr>
        <w:t xml:space="preserve">1. Սույն օրենքն ուժի մեջ է մտնում պաշտոնական հրապարակման օրվան հաջորդող տասներորդ օրը:</w:t>
      </w:r>
    </w:p>
    <w:p>
      <w:pPr>
        <w:jc w:val="both"/>
        <w:ind w:left="0" w:right="0" w:firstLine="375"/>
        <w:spacing w:after="0" w:line="360" w:lineRule="auto"/>
      </w:pPr>
      <w:r>
        <w:rPr>
          <w:rFonts w:ascii="'GHEA Grapalat'" w:hAnsi="'GHEA Grapalat'" w:eastAsia="'GHEA Grapalat'" w:cs="'GHEA Grapalat'"/>
          <w:lang w:val="hy-HY"/>
          <w:color w:val="black"/>
          <w:sz w:val="24"/>
          <w:szCs w:val="24"/>
        </w:rPr>
        <w:t xml:space="preserve">2</w:t>
      </w:r>
      <w:r>
        <w:rPr>
          <w:rFonts w:ascii="'Cambria Math'" w:hAnsi="'Cambria Math'" w:eastAsia="'Cambria Math'" w:cs="'Cambria Math'"/>
          <w:lang w:val="hy-HY"/>
          <w:color w:val="black"/>
          <w:sz w:val="24"/>
          <w:szCs w:val="24"/>
        </w:rPr>
        <w:t xml:space="preserve">․</w:t>
      </w:r>
      <w:r>
        <w:rPr>
          <w:rFonts w:ascii="'GHEA Grapalat'" w:hAnsi="'GHEA Grapalat'" w:eastAsia="'GHEA Grapalat'" w:cs="'GHEA Grapalat'"/>
          <w:lang w:val="hy-HY"/>
          <w:color w:val="black"/>
          <w:sz w:val="24"/>
          <w:szCs w:val="24"/>
        </w:rPr>
        <w:t xml:space="preserve"> Սույն օրենքի գործողությունը տարածվում է սույն օրենքն ուժի մեջ մտնելուց հետո կառուցապատողի հատուկ հաշվում առկա մնացորդի վրա:</w:t>
      </w:r>
    </w:p>
    <w:p>
      <w:pPr>
        <w:jc w:val="both"/>
        <w:ind w:left="0" w:right="0" w:firstLine="375"/>
        <w:spacing w:after="0" w:line="360" w:lineRule="auto"/>
      </w:pPr>
      <w:r>
        <w:rPr>
          <w:rFonts w:ascii="'GHEA Grapalat'" w:hAnsi="'GHEA Grapalat'" w:eastAsia="'GHEA Grapalat'" w:cs="'GHEA Grapalat'"/>
          <w:lang w:val="hy-HY"/>
          <w:color w:val="black"/>
          <w:sz w:val="24"/>
          <w:szCs w:val="24"/>
        </w:rPr>
        <w:t xml:space="preserve"> </w:t>
      </w:r>
    </w:p>
    <w:p>
      <w:pPr>
        <w:jc w:val="both"/>
        <w:ind w:left="0" w:right="0" w:firstLine="375"/>
        <w:spacing w:after="0" w:line="276" w:lineRule="auto"/>
      </w:pPr>
      <w:r>
        <w:rPr>
          <w:rFonts w:ascii="'GHEA Grapalat'" w:hAnsi="'GHEA Grapalat'" w:eastAsia="'GHEA Grapalat'" w:cs="'GHEA Grapalat'"/>
          <w:lang w:val="hy-HY"/>
          <w:color w:val="black"/>
          <w:sz w:val="24"/>
          <w:szCs w:val="24"/>
        </w:rPr>
        <w:t xml:space="preserve"> </w:t>
      </w:r>
    </w:p>
    <w:tbl>
      <w:tblGrid>
        <w:gridCol w:w="0" w:type="dxa"/>
        <w:gridCol w:w="0" w:type="dxa"/>
      </w:tblGrid>
      <w:tblPr>
        <w:tblW w:w="0" w:type="pct"/>
        <w:tblCellSpacing w:w="0" w:type="dxa"/>
        <w:tblLayout w:type="autofit"/>
        <w:tblBorders>
          <w:top w:val="single" w:sz="0"/>
          <w:left w:val="single" w:sz="0"/>
          <w:right w:val="single" w:sz="0"/>
          <w:bottom w:val="single" w:sz="0"/>
          <w:insideH w:val="single" w:sz="0"/>
          <w:insideV w:val="single" w:sz="0"/>
        </w:tblBorders>
      </w:tblPr>
      <w:tr>
        <w:trPr/>
        <w:tc>
          <w:tcPr>
            <w:tcW w:w="0" w:type="dxa"/>
            <w:noWrap/>
          </w:tcPr>
          <w:p>
            <w:pPr>
              <w:jc w:val="center"/>
              <w:spacing w:line="240" w:lineRule="auto"/>
            </w:pPr>
            <w:r>
              <w:rPr>
                <w:rFonts w:ascii="'GHEA Grapalat'" w:hAnsi="'GHEA Grapalat'" w:eastAsia="'GHEA Grapalat'" w:cs="'GHEA Grapalat'"/>
                <w:lang w:val="hy-HY"/>
                <w:color w:val="black"/>
                <w:sz w:val="24"/>
                <w:szCs w:val="24"/>
                <w:b w:val="1"/>
                <w:bCs w:val="1"/>
              </w:rPr>
              <w:t xml:space="preserve">Հանրապետության նախագահ</w:t>
            </w:r>
          </w:p>
        </w:tc>
        <w:tc>
          <w:tcPr>
            <w:tcW w:w="0" w:type="pct"/>
            <w:vAlign w:val="bottom"/>
            <w:noWrap/>
          </w:tcPr>
          <w:p>
            <w:pPr>
              <w:jc w:val="end"/>
              <w:spacing w:after="0" w:line="240" w:lineRule="auto"/>
            </w:pPr>
            <w:r>
              <w:rPr>
                <w:rFonts w:ascii="'GHEA Grapalat'" w:hAnsi="'GHEA Grapalat'" w:eastAsia="'GHEA Grapalat'" w:cs="'GHEA Grapalat'"/>
                <w:lang w:val="hy-HY"/>
                <w:color w:val="black"/>
                <w:sz w:val="24"/>
                <w:szCs w:val="24"/>
                <w:b w:val="1"/>
                <w:bCs w:val="1"/>
              </w:rPr>
              <w:t xml:space="preserve">Վ. Խաչատուրյան</w:t>
            </w:r>
          </w:p>
        </w:tc>
      </w:tr>
      <w:tr>
        <w:trPr/>
        <w:tc>
          <w:tcPr>
            <w:tcW w:w="0" w:type="pct"/>
            <w:noWrap/>
          </w:tcPr>
          <w:p>
            <w:pPr>
              <w:jc w:val="center"/>
              <w:spacing w:after="0" w:line="240" w:lineRule="auto"/>
            </w:pPr>
            <w:r>
              <w:rPr>
                <w:lang w:val="hy-HY"/>
                <w:color w:val="black"/>
                <w:sz w:val="24"/>
                <w:szCs w:val="24"/>
              </w:rPr>
              <w:t xml:space="preserve"> </w:t>
            </w:r>
          </w:p>
          <w:p>
            <w:pPr>
              <w:jc w:val="center"/>
              <w:spacing w:after="0" w:line="240" w:lineRule="auto"/>
            </w:pPr>
            <w:r>
              <w:rPr>
                <w:rFonts w:ascii="'GHEA Grapalat'" w:hAnsi="'GHEA Grapalat'" w:eastAsia="'GHEA Grapalat'" w:cs="'GHEA Grapalat'"/>
                <w:lang w:val="hy-HY"/>
                <w:color w:val="black"/>
                <w:sz w:val="24"/>
                <w:szCs w:val="24"/>
              </w:rPr>
              <w:t xml:space="preserve">2025 թ.</w:t>
            </w:r>
            <w:r>
              <w:rPr>
                <w:lang w:val="hy-HY"/>
                <w:color w:val="black"/>
                <w:sz w:val="24"/>
                <w:szCs w:val="24"/>
              </w:rPr>
              <w:t xml:space="preserve"> </w:t>
            </w:r>
            <w:r>
              <w:rPr>
                <w:rFonts w:ascii="'GHEA Grapalat'" w:hAnsi="'GHEA Grapalat'" w:eastAsia="'GHEA Grapalat'" w:cs="'GHEA Grapalat'"/>
                <w:lang w:val="hy-HY"/>
                <w:color w:val="black"/>
                <w:sz w:val="24"/>
                <w:szCs w:val="24"/>
              </w:rPr>
              <w:t xml:space="preserve">—————</w:t>
            </w:r>
          </w:p>
          <w:p>
            <w:pPr>
              <w:jc w:val="center"/>
              <w:spacing w:after="0" w:line="240" w:lineRule="auto"/>
            </w:pPr>
            <w:r>
              <w:rPr>
                <w:rFonts w:ascii="'GHEA Grapalat'" w:hAnsi="'GHEA Grapalat'" w:eastAsia="'GHEA Grapalat'" w:cs="'GHEA Grapalat'"/>
                <w:lang w:val="hy-HY"/>
                <w:color w:val="black"/>
                <w:sz w:val="24"/>
                <w:szCs w:val="24"/>
              </w:rPr>
              <w:t xml:space="preserve">Երևան</w:t>
            </w:r>
          </w:p>
          <w:p>
            <w:pPr>
              <w:jc w:val="center"/>
              <w:spacing w:after="0" w:line="240" w:lineRule="auto"/>
            </w:pPr>
            <w:r>
              <w:rPr>
                <w:rFonts w:ascii="'GHEA Grapalat'" w:hAnsi="'GHEA Grapalat'" w:eastAsia="'GHEA Grapalat'" w:cs="'GHEA Grapalat'"/>
                <w:lang w:val="hy-HY"/>
                <w:color w:val="black"/>
                <w:sz w:val="24"/>
                <w:szCs w:val="24"/>
              </w:rPr>
              <w:t xml:space="preserve">ՀՕ-———-Ն</w:t>
            </w:r>
          </w:p>
        </w:tc>
        <w:tc>
          <w:tcPr>
            <w:tcW w:w="0" w:type="pct"/>
            <w:noWrap/>
          </w:tcPr>
          <w:p>
            <w:pPr/>
            <w:r>
              <w:rPr/>
              <w:t xml:space="preserve"> </w:t>
            </w:r>
          </w:p>
        </w:tc>
      </w:tr>
    </w:tbl>
    <w:p>
      <w:pPr/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titleStyle">
    <w:link w:val="HeadingtitleStyleChar"/>
    <w:name w:val="heading titleStyle"/>
    <w:basedOn w:val="Normal"/>
    <w:pPr>
      <w:jc w:val="center"/>
    </w:pPr>
    <w:rPr>
      <w:rFonts w:ascii="GHEA Grapalat" w:hAnsi="GHEA Grapalat" w:eastAsia="GHEA Grapalat" w:cs="GHEA Grapalat"/>
      <w:color w:val="000000"/>
      <w:sz w:val="28"/>
      <w:szCs w:val="28"/>
      <w:b w:val="1"/>
      <w:bCs w:val="1"/>
      <w:smallCaps w:val="0"/>
      <w:cap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2026-04-09T15:49:05+04:00</dcterms:created>
  <dcterms:modified xsi:type="dcterms:W3CDTF">2026-04-09T15:49:05+04:00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